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14" w:rsidRDefault="002D7114" w:rsidP="00F66B60">
      <w:pPr>
        <w:pStyle w:val="AltKonuBal"/>
        <w:spacing w:before="120" w:after="120"/>
        <w:jc w:val="center"/>
        <w:rPr>
          <w:b/>
          <w:i w:val="0"/>
          <w:sz w:val="24"/>
          <w:szCs w:val="24"/>
        </w:rPr>
      </w:pPr>
      <w:bookmarkStart w:id="0" w:name="_GoBack"/>
      <w:bookmarkEnd w:id="0"/>
      <w:r w:rsidRPr="00860514">
        <w:rPr>
          <w:b/>
          <w:i w:val="0"/>
          <w:sz w:val="24"/>
          <w:szCs w:val="24"/>
        </w:rPr>
        <w:t>TÜKETİCİ TEMELLİ MARKA DEĞERİNİN MARKA TERCİHLERİNE ETKİSİNDE AİLENİN ARACILIK ROLÜ</w:t>
      </w:r>
    </w:p>
    <w:p w:rsidR="00094F79" w:rsidRDefault="00094F79" w:rsidP="00F66B60">
      <w:pPr>
        <w:pStyle w:val="AltKonuBal"/>
        <w:spacing w:before="120" w:after="120"/>
        <w:jc w:val="center"/>
        <w:rPr>
          <w:b/>
          <w:i w:val="0"/>
          <w:sz w:val="24"/>
          <w:szCs w:val="24"/>
        </w:rPr>
      </w:pPr>
      <w:r>
        <w:rPr>
          <w:b/>
          <w:i w:val="0"/>
          <w:sz w:val="24"/>
          <w:szCs w:val="24"/>
        </w:rPr>
        <w:t>THE MEDIATING ROLE OF FAMILY ON THE EFFECTS OF BRAND PREFERENCES OF CUNSOMER-BASED BRAND EQUITY</w:t>
      </w:r>
    </w:p>
    <w:p w:rsidR="00330146" w:rsidRDefault="00330146" w:rsidP="00330146">
      <w:pPr>
        <w:pStyle w:val="AralkYok"/>
        <w:jc w:val="right"/>
        <w:rPr>
          <w:rFonts w:ascii="Times New Roman" w:hAnsi="Times New Roman"/>
        </w:rPr>
      </w:pPr>
      <w:r w:rsidRPr="00330146">
        <w:rPr>
          <w:rFonts w:ascii="Times New Roman" w:hAnsi="Times New Roman"/>
        </w:rPr>
        <w:t>Erkan YILDIZ</w:t>
      </w:r>
    </w:p>
    <w:p w:rsidR="00330146" w:rsidRPr="00330146" w:rsidRDefault="00330146" w:rsidP="00330146">
      <w:pPr>
        <w:pStyle w:val="AralkYok"/>
        <w:jc w:val="right"/>
        <w:rPr>
          <w:rFonts w:ascii="Times New Roman" w:hAnsi="Times New Roman"/>
        </w:rPr>
      </w:pPr>
      <w:r>
        <w:rPr>
          <w:rFonts w:ascii="Times New Roman" w:hAnsi="Times New Roman"/>
        </w:rPr>
        <w:t>Öğretim Görevlisi</w:t>
      </w:r>
    </w:p>
    <w:p w:rsidR="00330146" w:rsidRDefault="00330146" w:rsidP="00330146">
      <w:pPr>
        <w:pStyle w:val="AralkYok"/>
        <w:jc w:val="right"/>
        <w:rPr>
          <w:rFonts w:ascii="Times New Roman" w:hAnsi="Times New Roman"/>
        </w:rPr>
      </w:pPr>
      <w:r w:rsidRPr="00330146">
        <w:rPr>
          <w:rFonts w:ascii="Times New Roman" w:hAnsi="Times New Roman"/>
        </w:rPr>
        <w:t>Kara Harp Okulu Dekanlığı</w:t>
      </w:r>
    </w:p>
    <w:p w:rsidR="00330146" w:rsidRPr="00330146" w:rsidRDefault="00330146" w:rsidP="00330146">
      <w:pPr>
        <w:pStyle w:val="AralkYok"/>
        <w:jc w:val="right"/>
        <w:rPr>
          <w:rFonts w:ascii="Times New Roman" w:hAnsi="Times New Roman"/>
        </w:rPr>
      </w:pPr>
      <w:r w:rsidRPr="00330146">
        <w:rPr>
          <w:rFonts w:ascii="Times New Roman" w:hAnsi="Times New Roman"/>
        </w:rPr>
        <w:t>İşletme Bölüm Başkanlığı</w:t>
      </w:r>
    </w:p>
    <w:p w:rsidR="00330146" w:rsidRPr="00330146" w:rsidRDefault="00330146" w:rsidP="00330146">
      <w:pPr>
        <w:pStyle w:val="AralkYok"/>
        <w:jc w:val="right"/>
        <w:rPr>
          <w:rFonts w:ascii="Times New Roman" w:hAnsi="Times New Roman"/>
        </w:rPr>
      </w:pPr>
      <w:r w:rsidRPr="00330146">
        <w:rPr>
          <w:rFonts w:ascii="Times New Roman" w:hAnsi="Times New Roman"/>
        </w:rPr>
        <w:t>eryildiz</w:t>
      </w:r>
      <w:r>
        <w:rPr>
          <w:rFonts w:ascii="Times New Roman" w:hAnsi="Times New Roman"/>
        </w:rPr>
        <w:t>967</w:t>
      </w:r>
      <w:r w:rsidRPr="00330146">
        <w:rPr>
          <w:rFonts w:ascii="Times New Roman" w:hAnsi="Times New Roman"/>
        </w:rPr>
        <w:t>@</w:t>
      </w:r>
      <w:r>
        <w:rPr>
          <w:rFonts w:ascii="Times New Roman" w:hAnsi="Times New Roman"/>
        </w:rPr>
        <w:t>gmail.com</w:t>
      </w:r>
    </w:p>
    <w:p w:rsidR="002D7114" w:rsidRPr="002D7114" w:rsidRDefault="002D7114" w:rsidP="00F66B60">
      <w:pPr>
        <w:spacing w:before="120" w:after="120"/>
        <w:jc w:val="center"/>
        <w:rPr>
          <w:b/>
          <w:sz w:val="18"/>
          <w:szCs w:val="18"/>
        </w:rPr>
      </w:pPr>
      <w:r w:rsidRPr="002D7114">
        <w:rPr>
          <w:b/>
          <w:sz w:val="18"/>
          <w:szCs w:val="18"/>
        </w:rPr>
        <w:t>ÖZET</w:t>
      </w:r>
    </w:p>
    <w:p w:rsidR="002D7114" w:rsidRDefault="002D7114" w:rsidP="00F66B60">
      <w:pPr>
        <w:spacing w:before="120" w:after="120"/>
        <w:jc w:val="both"/>
        <w:rPr>
          <w:sz w:val="18"/>
          <w:szCs w:val="18"/>
        </w:rPr>
      </w:pPr>
      <w:r w:rsidRPr="002D7114">
        <w:rPr>
          <w:sz w:val="18"/>
          <w:szCs w:val="18"/>
        </w:rPr>
        <w:t xml:space="preserve">Bu çalışmanın birinci amacı; tüketici temelli marka değerinin </w:t>
      </w:r>
      <w:r>
        <w:rPr>
          <w:sz w:val="18"/>
          <w:szCs w:val="18"/>
        </w:rPr>
        <w:t xml:space="preserve">alt boyutları olan; marka farkındalığı, algılanan kalite, marka çağrışımları ve marka sadakatinin </w:t>
      </w:r>
      <w:r w:rsidRPr="002D7114">
        <w:rPr>
          <w:sz w:val="18"/>
          <w:szCs w:val="18"/>
        </w:rPr>
        <w:t xml:space="preserve">marka tercihleri üzerine etkisini incelemek, ikinci amacı ise ailenin bu ilişkilerdeki aracılık </w:t>
      </w:r>
      <w:r w:rsidR="00076C86">
        <w:rPr>
          <w:sz w:val="18"/>
          <w:szCs w:val="18"/>
        </w:rPr>
        <w:t>rolünü</w:t>
      </w:r>
      <w:r w:rsidRPr="002D7114">
        <w:rPr>
          <w:sz w:val="18"/>
          <w:szCs w:val="18"/>
        </w:rPr>
        <w:t xml:space="preserve"> araştırmaktır.</w:t>
      </w:r>
      <w:r w:rsidR="00860514">
        <w:rPr>
          <w:sz w:val="18"/>
          <w:szCs w:val="18"/>
        </w:rPr>
        <w:t xml:space="preserve"> Bu amaçla Ankara ilinde 295 kişinin katılımıyla bir çalışma yapılmıştır. Araştırma sonucunda; algılanan kalite ve marka sadakatinin marka tercihlerini pozitif yönde etkilerken, marka farkındalığı ve marka çağrışımlarının, marka tercihleri üzerinde bir etkisini olmadığı aynı zamanda bu ilişkide ailenin de aracılık </w:t>
      </w:r>
      <w:r w:rsidR="00076C86">
        <w:rPr>
          <w:sz w:val="18"/>
          <w:szCs w:val="18"/>
        </w:rPr>
        <w:t>rolüne</w:t>
      </w:r>
      <w:r w:rsidR="00860514">
        <w:rPr>
          <w:sz w:val="18"/>
          <w:szCs w:val="18"/>
        </w:rPr>
        <w:t xml:space="preserve"> sahip olmadığı belirlenmiştir.</w:t>
      </w:r>
    </w:p>
    <w:p w:rsidR="00F66B60" w:rsidRDefault="00F66B60" w:rsidP="00330146">
      <w:pPr>
        <w:spacing w:before="120" w:after="120"/>
        <w:rPr>
          <w:sz w:val="18"/>
          <w:szCs w:val="18"/>
        </w:rPr>
      </w:pPr>
      <w:r w:rsidRPr="002D7114">
        <w:rPr>
          <w:b/>
          <w:sz w:val="18"/>
          <w:szCs w:val="18"/>
        </w:rPr>
        <w:t>Anahtar Kelimeler:</w:t>
      </w:r>
      <w:r w:rsidRPr="002D7114">
        <w:rPr>
          <w:sz w:val="18"/>
          <w:szCs w:val="18"/>
        </w:rPr>
        <w:t xml:space="preserve"> </w:t>
      </w:r>
      <w:r>
        <w:rPr>
          <w:sz w:val="18"/>
          <w:szCs w:val="18"/>
        </w:rPr>
        <w:t>Marka Farkındalığı, Algılanan Kalite, Marka Çağrışımları, Marka Sadakati, Marka Tercihi, Aile.</w:t>
      </w:r>
    </w:p>
    <w:p w:rsidR="002D7114" w:rsidRDefault="00F66B60" w:rsidP="00F66B60">
      <w:pPr>
        <w:spacing w:before="120" w:after="120"/>
        <w:jc w:val="center"/>
        <w:rPr>
          <w:b/>
          <w:sz w:val="18"/>
          <w:szCs w:val="18"/>
        </w:rPr>
      </w:pPr>
      <w:r w:rsidRPr="00F66B60">
        <w:rPr>
          <w:b/>
          <w:sz w:val="18"/>
          <w:szCs w:val="18"/>
        </w:rPr>
        <w:t>ABSTRACT</w:t>
      </w:r>
    </w:p>
    <w:p w:rsidR="00133B7E" w:rsidRPr="00133B7E" w:rsidRDefault="000D44EA" w:rsidP="00133B7E">
      <w:pPr>
        <w:spacing w:before="120" w:after="120"/>
        <w:jc w:val="both"/>
        <w:rPr>
          <w:sz w:val="18"/>
          <w:szCs w:val="18"/>
        </w:rPr>
      </w:pPr>
      <w:r>
        <w:rPr>
          <w:sz w:val="18"/>
          <w:szCs w:val="18"/>
        </w:rPr>
        <w:t>The primary objective of this study is to investigate the effects of the sub-dimension of consumer-based brand equity which are called brand awareness, perceived quality, brand associotions and brand loyalty on brand preference and the second goal is  to find out the mediating role of family on these relations. Fort this purpose, a study was conducted with the participation of 295 people in Ankara. According to the research result, perceived quality and brand loyalty positively effects on brand preferences but</w:t>
      </w:r>
      <w:r w:rsidR="007C42DF">
        <w:rPr>
          <w:sz w:val="18"/>
          <w:szCs w:val="18"/>
        </w:rPr>
        <w:t xml:space="preserve"> there is no significant effects of brand awareness and brand association on this preferences. And also it is observed that family does not have any mediating role on these relations.</w:t>
      </w:r>
    </w:p>
    <w:p w:rsidR="00F66B60" w:rsidRPr="002D7114" w:rsidRDefault="00F66B60" w:rsidP="00330146">
      <w:pPr>
        <w:spacing w:before="120" w:after="120"/>
        <w:rPr>
          <w:sz w:val="18"/>
          <w:szCs w:val="18"/>
        </w:rPr>
      </w:pPr>
      <w:r w:rsidRPr="00F66B60">
        <w:rPr>
          <w:b/>
          <w:sz w:val="18"/>
          <w:szCs w:val="18"/>
        </w:rPr>
        <w:t>Key Words:</w:t>
      </w:r>
      <w:r>
        <w:rPr>
          <w:sz w:val="18"/>
          <w:szCs w:val="18"/>
        </w:rPr>
        <w:t xml:space="preserve"> Brand Awareness, Percieved Quality, Brand Associatinos, Brand Loyalty, Brand Preference, Family.</w:t>
      </w:r>
    </w:p>
    <w:p w:rsidR="002D7114" w:rsidRPr="00EE120D" w:rsidRDefault="002D7114" w:rsidP="00EE120D">
      <w:pPr>
        <w:spacing w:before="120" w:after="120"/>
        <w:rPr>
          <w:b/>
          <w:sz w:val="20"/>
          <w:szCs w:val="20"/>
        </w:rPr>
      </w:pPr>
      <w:r w:rsidRPr="00EE120D">
        <w:rPr>
          <w:b/>
          <w:sz w:val="20"/>
          <w:szCs w:val="20"/>
        </w:rPr>
        <w:t>1. GİRİŞ</w:t>
      </w:r>
    </w:p>
    <w:p w:rsidR="002D7114" w:rsidRDefault="002D7114" w:rsidP="00EE120D">
      <w:pPr>
        <w:spacing w:before="120" w:after="120"/>
        <w:jc w:val="both"/>
        <w:rPr>
          <w:sz w:val="20"/>
          <w:szCs w:val="20"/>
        </w:rPr>
      </w:pPr>
      <w:r w:rsidRPr="00EE120D">
        <w:rPr>
          <w:sz w:val="20"/>
          <w:szCs w:val="20"/>
        </w:rPr>
        <w:t>İşletmelerin uzun dönemde yaşamlarını devam ettirebilmeleri</w:t>
      </w:r>
      <w:r w:rsidR="001C0C2A">
        <w:rPr>
          <w:sz w:val="20"/>
          <w:szCs w:val="20"/>
        </w:rPr>
        <w:t>,</w:t>
      </w:r>
      <w:r w:rsidRPr="00EE120D">
        <w:rPr>
          <w:sz w:val="20"/>
          <w:szCs w:val="20"/>
        </w:rPr>
        <w:t xml:space="preserve"> ortalamanın üstünde getiri elde ederek sürdürülebilir rekabet avantajı elde etmelerine bağlıdır. Günümüzde rekabet edebilmek için fiyat tek enstrüman olmaktan çıkmıştır. Sürdürülebilir rekabet avantajı elde edebilmek için son zamanlarda iki faktör çok daha ön plana çıkmıştır. Bunlar</w:t>
      </w:r>
      <w:r w:rsidR="001C0C2A">
        <w:rPr>
          <w:sz w:val="20"/>
          <w:szCs w:val="20"/>
        </w:rPr>
        <w:t>;</w:t>
      </w:r>
      <w:r w:rsidRPr="00EE120D">
        <w:rPr>
          <w:sz w:val="20"/>
          <w:szCs w:val="20"/>
        </w:rPr>
        <w:t xml:space="preserve"> nitelikli insan gücüne ve güçlü bir markaya sahip olmaktır. Güçlü markaya sahip olmak artık günümüzde somut kavramların çok ötesine geçmiş soyut değerlerle ifade edilir ve aranılır olan marka değerine dönüşmüştür.</w:t>
      </w:r>
    </w:p>
    <w:p w:rsidR="001F4FAA" w:rsidRDefault="005F657D" w:rsidP="00D134D1">
      <w:pPr>
        <w:spacing w:before="120" w:after="120"/>
        <w:jc w:val="both"/>
        <w:rPr>
          <w:sz w:val="20"/>
          <w:szCs w:val="20"/>
        </w:rPr>
      </w:pPr>
      <w:r>
        <w:rPr>
          <w:sz w:val="20"/>
          <w:szCs w:val="20"/>
        </w:rPr>
        <w:t xml:space="preserve">Bu nedenle yazında marka değeriyle ilgili yapılan çalışmalar her geçen gün artmaktadır. Yazında tüketici temelli marka değerinin marka tercihlerine etkisine bakan çok az sayıda çalışma olmasına karşın bu kavramlar arasındaki çalışmada ailenin aracılık rolüne bakılan bir çalışmaya rastlanılmamıştır. Bu </w:t>
      </w:r>
      <w:r w:rsidR="001F4FAA">
        <w:rPr>
          <w:sz w:val="20"/>
          <w:szCs w:val="20"/>
        </w:rPr>
        <w:t>çalışmayla, hem</w:t>
      </w:r>
      <w:r>
        <w:rPr>
          <w:sz w:val="20"/>
          <w:szCs w:val="20"/>
        </w:rPr>
        <w:t xml:space="preserve"> yazına </w:t>
      </w:r>
      <w:r w:rsidR="001F4FAA">
        <w:rPr>
          <w:sz w:val="20"/>
          <w:szCs w:val="20"/>
        </w:rPr>
        <w:t xml:space="preserve">önemli </w:t>
      </w:r>
      <w:r>
        <w:rPr>
          <w:sz w:val="20"/>
          <w:szCs w:val="20"/>
        </w:rPr>
        <w:t>katkı</w:t>
      </w:r>
      <w:r w:rsidR="001F4FAA">
        <w:rPr>
          <w:sz w:val="20"/>
          <w:szCs w:val="20"/>
        </w:rPr>
        <w:t>lar</w:t>
      </w:r>
      <w:r>
        <w:rPr>
          <w:sz w:val="20"/>
          <w:szCs w:val="20"/>
        </w:rPr>
        <w:t xml:space="preserve"> sağlanabileceği</w:t>
      </w:r>
      <w:r w:rsidR="001F4FAA">
        <w:rPr>
          <w:sz w:val="20"/>
          <w:szCs w:val="20"/>
        </w:rPr>
        <w:t xml:space="preserve"> hem de</w:t>
      </w:r>
      <w:r w:rsidR="001F4FAA" w:rsidRPr="001F4FAA">
        <w:rPr>
          <w:sz w:val="20"/>
          <w:szCs w:val="20"/>
        </w:rPr>
        <w:t xml:space="preserve"> işletmelerin</w:t>
      </w:r>
      <w:r w:rsidR="001F4FAA">
        <w:rPr>
          <w:sz w:val="20"/>
          <w:szCs w:val="20"/>
        </w:rPr>
        <w:t>;</w:t>
      </w:r>
      <w:r w:rsidR="001F4FAA" w:rsidRPr="001F4FAA">
        <w:rPr>
          <w:sz w:val="20"/>
          <w:szCs w:val="20"/>
        </w:rPr>
        <w:t xml:space="preserve"> </w:t>
      </w:r>
      <w:r w:rsidR="002A349C">
        <w:rPr>
          <w:sz w:val="20"/>
          <w:szCs w:val="20"/>
        </w:rPr>
        <w:t xml:space="preserve">gerek </w:t>
      </w:r>
      <w:r w:rsidR="001F4FAA" w:rsidRPr="001F4FAA">
        <w:rPr>
          <w:sz w:val="20"/>
          <w:szCs w:val="20"/>
        </w:rPr>
        <w:t>üst düzey yöneticileri</w:t>
      </w:r>
      <w:r w:rsidR="002A349C">
        <w:rPr>
          <w:sz w:val="20"/>
          <w:szCs w:val="20"/>
        </w:rPr>
        <w:t>ne</w:t>
      </w:r>
      <w:r w:rsidR="001F4FAA" w:rsidRPr="001F4FAA">
        <w:rPr>
          <w:sz w:val="20"/>
          <w:szCs w:val="20"/>
        </w:rPr>
        <w:t xml:space="preserve">, </w:t>
      </w:r>
      <w:r w:rsidR="002A349C">
        <w:rPr>
          <w:sz w:val="20"/>
          <w:szCs w:val="20"/>
        </w:rPr>
        <w:t xml:space="preserve">gerekse </w:t>
      </w:r>
      <w:r w:rsidR="001F4FAA" w:rsidRPr="001F4FAA">
        <w:rPr>
          <w:sz w:val="20"/>
          <w:szCs w:val="20"/>
        </w:rPr>
        <w:t>pazarlama ve marka yöneticileri</w:t>
      </w:r>
      <w:r w:rsidR="002A349C">
        <w:rPr>
          <w:sz w:val="20"/>
          <w:szCs w:val="20"/>
        </w:rPr>
        <w:t xml:space="preserve">ne, </w:t>
      </w:r>
      <w:r w:rsidR="001F4FAA" w:rsidRPr="001F4FAA">
        <w:rPr>
          <w:sz w:val="20"/>
          <w:szCs w:val="20"/>
        </w:rPr>
        <w:t>güçlü bir marka değerine sahip olmak</w:t>
      </w:r>
      <w:r w:rsidR="002A349C">
        <w:rPr>
          <w:sz w:val="20"/>
          <w:szCs w:val="20"/>
        </w:rPr>
        <w:t xml:space="preserve"> adına faydalanabilecekleri önemli ipuçları sunulabileceği değerlendirilmektir.</w:t>
      </w:r>
      <w:r w:rsidR="001F4FAA" w:rsidRPr="001F4FAA">
        <w:rPr>
          <w:sz w:val="20"/>
          <w:szCs w:val="20"/>
        </w:rPr>
        <w:t xml:space="preserve"> </w:t>
      </w:r>
    </w:p>
    <w:p w:rsidR="005F657D" w:rsidRDefault="005F657D" w:rsidP="005F657D">
      <w:pPr>
        <w:spacing w:before="120" w:after="120"/>
        <w:jc w:val="both"/>
        <w:rPr>
          <w:b/>
          <w:sz w:val="20"/>
          <w:szCs w:val="20"/>
        </w:rPr>
      </w:pPr>
      <w:r>
        <w:rPr>
          <w:b/>
          <w:sz w:val="20"/>
          <w:szCs w:val="20"/>
        </w:rPr>
        <w:t>2. KAVRAMSAL ÇERÇEVE</w:t>
      </w:r>
    </w:p>
    <w:p w:rsidR="007C42DF" w:rsidRDefault="007C42DF" w:rsidP="005F657D">
      <w:pPr>
        <w:spacing w:before="120" w:after="120"/>
        <w:jc w:val="both"/>
        <w:rPr>
          <w:sz w:val="20"/>
          <w:szCs w:val="20"/>
        </w:rPr>
      </w:pPr>
      <w:r>
        <w:rPr>
          <w:sz w:val="20"/>
          <w:szCs w:val="20"/>
        </w:rPr>
        <w:t xml:space="preserve">Marka değeri; herhangi bir ürünün markaya kattığı değer (Farquar, 1998), markalı ürünlerle kıyaslandığında markalı ürünlerin marjinal değeri (Hutton, 1993), markanın pazardaki rekabet gücünün yansıması (Kavas, 2004: 16), </w:t>
      </w:r>
      <w:r w:rsidR="009A0301">
        <w:rPr>
          <w:sz w:val="20"/>
          <w:szCs w:val="20"/>
        </w:rPr>
        <w:t>iyi niyet ve olumlu etkilerin birikimi (Odabaşı ve Oyman, 2007: 372), yeni bir mamul sınıfına girerken mevcut olan bir markanın kullanılması (Erdil ve Uzun, 2010) şeklinde ifade edilebilir.</w:t>
      </w:r>
    </w:p>
    <w:p w:rsidR="00840507" w:rsidRDefault="00840507" w:rsidP="005F657D">
      <w:pPr>
        <w:spacing w:before="120" w:after="120"/>
        <w:jc w:val="both"/>
        <w:rPr>
          <w:sz w:val="20"/>
          <w:szCs w:val="20"/>
        </w:rPr>
      </w:pPr>
      <w:r w:rsidRPr="00840507">
        <w:rPr>
          <w:sz w:val="20"/>
          <w:szCs w:val="20"/>
        </w:rPr>
        <w:t>1980 ve sonraki yıllarda Avrupa ve ABD’de marka değeri kavramı daha popüler olmuş, hem akademik çalışmalar hem de işletmecilik uygulamaları için çok önemli bir kavram haline gelmiştir. 1991 yılında, Marketing Science Institu tarafından marka değeri kavramı, pazarlama disiplini açısından en ön plana çıkan konulardan biri olarak ifade edilmiştir (Lassar, Mittal ve Sharma, 1995, Gil</w:t>
      </w:r>
      <w:r w:rsidR="00EE6195">
        <w:rPr>
          <w:sz w:val="20"/>
          <w:szCs w:val="20"/>
        </w:rPr>
        <w:t>, Andres ve Salina</w:t>
      </w:r>
      <w:r w:rsidRPr="00840507">
        <w:rPr>
          <w:sz w:val="20"/>
          <w:szCs w:val="20"/>
        </w:rPr>
        <w:t>, 2007: 188).</w:t>
      </w:r>
    </w:p>
    <w:p w:rsidR="00FA43C2" w:rsidRDefault="003258AF" w:rsidP="005F657D">
      <w:pPr>
        <w:spacing w:before="120" w:after="120"/>
        <w:jc w:val="both"/>
        <w:rPr>
          <w:sz w:val="20"/>
          <w:szCs w:val="20"/>
        </w:rPr>
      </w:pPr>
      <w:r>
        <w:rPr>
          <w:sz w:val="20"/>
          <w:szCs w:val="20"/>
        </w:rPr>
        <w:t>Yazında</w:t>
      </w:r>
      <w:r w:rsidR="00FA43C2" w:rsidRPr="00FA43C2">
        <w:rPr>
          <w:sz w:val="20"/>
          <w:szCs w:val="20"/>
        </w:rPr>
        <w:t xml:space="preserve">, marka değeri kavramıyla ilgili yapılan tanımlar, iki temel perspektife dayanmaktadır. Finansal perspektife dayanan tanımlar da işletme değeri ön plana çıkarken ikinci perspektif olan pazarlama bakış açısına göre yapılan tanımlarda ise, tüketici gözündeki marka değeri esas alınmıştır (Pappu, </w:t>
      </w:r>
      <w:r w:rsidR="00346066">
        <w:rPr>
          <w:sz w:val="20"/>
          <w:szCs w:val="20"/>
        </w:rPr>
        <w:t>Quester ve Cooksey, 2005: 144).</w:t>
      </w:r>
    </w:p>
    <w:p w:rsidR="00F5450E" w:rsidRDefault="00AA1BA2" w:rsidP="005F657D">
      <w:pPr>
        <w:spacing w:before="120" w:after="120"/>
        <w:jc w:val="both"/>
        <w:rPr>
          <w:sz w:val="20"/>
          <w:szCs w:val="20"/>
        </w:rPr>
      </w:pPr>
      <w:r>
        <w:rPr>
          <w:sz w:val="20"/>
          <w:szCs w:val="20"/>
        </w:rPr>
        <w:t>T</w:t>
      </w:r>
      <w:r w:rsidR="00814162">
        <w:rPr>
          <w:sz w:val="20"/>
          <w:szCs w:val="20"/>
        </w:rPr>
        <w:t xml:space="preserve">üketici temelli marka değeri; </w:t>
      </w:r>
      <w:r w:rsidR="00F5450E">
        <w:rPr>
          <w:sz w:val="20"/>
          <w:szCs w:val="20"/>
        </w:rPr>
        <w:t xml:space="preserve">tüketicilerin markaya atfettiği değer (Aaker, 1991), </w:t>
      </w:r>
      <w:r w:rsidR="00C37BCB">
        <w:rPr>
          <w:sz w:val="20"/>
          <w:szCs w:val="20"/>
        </w:rPr>
        <w:t>tüketicilerin satın alma kararlarında çok önemli rol oynayan bir unsur (Swait</w:t>
      </w:r>
      <w:r w:rsidR="00234529">
        <w:rPr>
          <w:sz w:val="20"/>
          <w:szCs w:val="20"/>
        </w:rPr>
        <w:t xml:space="preserve"> vd.</w:t>
      </w:r>
      <w:r w:rsidR="00C37BCB">
        <w:rPr>
          <w:sz w:val="20"/>
          <w:szCs w:val="20"/>
        </w:rPr>
        <w:t xml:space="preserve">, 1993), markanın tüketici tarafından tercih edilmesinde </w:t>
      </w:r>
      <w:r w:rsidR="00C37BCB">
        <w:rPr>
          <w:sz w:val="20"/>
          <w:szCs w:val="20"/>
        </w:rPr>
        <w:lastRenderedPageBreak/>
        <w:t xml:space="preserve">pozitif etki yaratan bir faktör (Park ve Srinivasan, 1994) </w:t>
      </w:r>
      <w:r w:rsidR="00F5450E">
        <w:rPr>
          <w:sz w:val="20"/>
          <w:szCs w:val="20"/>
        </w:rPr>
        <w:t>ve zamanla tüketicilerin edindiği bilgi ve tecrübeyle markayı talep etmesindeki etkenler (Keller, 1998) olarak ifade edilebilir.</w:t>
      </w:r>
    </w:p>
    <w:p w:rsidR="00AE0970" w:rsidRPr="00AE0970" w:rsidRDefault="00AE0970" w:rsidP="00AE0970">
      <w:pPr>
        <w:spacing w:before="120" w:after="120"/>
        <w:jc w:val="both"/>
        <w:rPr>
          <w:sz w:val="20"/>
          <w:szCs w:val="20"/>
        </w:rPr>
      </w:pPr>
      <w:r w:rsidRPr="00AE0970">
        <w:rPr>
          <w:sz w:val="20"/>
          <w:szCs w:val="20"/>
        </w:rPr>
        <w:t>Tüketici temelli marka değerinin farklı boyutları tanımlanmıştır. Ancak yaygın olarak kullanılan, Aaker (1991) ve Keller (1993) tarafından tanımlanan boyutlardır</w:t>
      </w:r>
      <w:r w:rsidR="00C93B76">
        <w:rPr>
          <w:sz w:val="20"/>
          <w:szCs w:val="20"/>
        </w:rPr>
        <w:t xml:space="preserve"> ki bu çalışmada da </w:t>
      </w:r>
      <w:r w:rsidR="00D65B14">
        <w:rPr>
          <w:sz w:val="20"/>
          <w:szCs w:val="20"/>
        </w:rPr>
        <w:t>aynı</w:t>
      </w:r>
      <w:r w:rsidR="00E27E26">
        <w:rPr>
          <w:sz w:val="20"/>
          <w:szCs w:val="20"/>
        </w:rPr>
        <w:t xml:space="preserve"> boyutlar k</w:t>
      </w:r>
      <w:r w:rsidR="00C93B76">
        <w:rPr>
          <w:sz w:val="20"/>
          <w:szCs w:val="20"/>
        </w:rPr>
        <w:t>ullanılmıştır</w:t>
      </w:r>
      <w:r w:rsidRPr="00AE0970">
        <w:rPr>
          <w:sz w:val="20"/>
          <w:szCs w:val="20"/>
        </w:rPr>
        <w:t xml:space="preserve">. Bu boyutlar; </w:t>
      </w:r>
      <w:r>
        <w:rPr>
          <w:sz w:val="20"/>
          <w:szCs w:val="20"/>
        </w:rPr>
        <w:t xml:space="preserve">Marka Farkındalığı, Algılanan Kalite, Marka Çağrışımları ve Marka Sadakatidir. </w:t>
      </w:r>
      <w:r w:rsidR="00BC65EF">
        <w:rPr>
          <w:sz w:val="20"/>
          <w:szCs w:val="20"/>
        </w:rPr>
        <w:t>Tüketici temelli marka değerinin boyutları şu şekilde ifade edebilir.</w:t>
      </w:r>
    </w:p>
    <w:p w:rsidR="00C93B76" w:rsidRPr="00C93B76" w:rsidRDefault="00C93B76" w:rsidP="00C93B76">
      <w:pPr>
        <w:spacing w:before="120" w:after="120"/>
        <w:jc w:val="both"/>
        <w:rPr>
          <w:sz w:val="20"/>
          <w:szCs w:val="20"/>
        </w:rPr>
      </w:pPr>
      <w:r w:rsidRPr="00C93B76">
        <w:rPr>
          <w:sz w:val="20"/>
          <w:szCs w:val="20"/>
        </w:rPr>
        <w:t>Marka farkındalığı; markanın tüketicilerin zihninde rakip markalarla kıyaslanması sonucu aldığı yer, tüketicilerin zihnindeki varlığının gücüdür. Tüketicilerin; markayı tanıması, markayı hatırlaması, zihninde diğer markalara oranla daha önde yer vermesi olarak ifade edilebilir (Aaker, 1990, 1991, 2009).</w:t>
      </w:r>
    </w:p>
    <w:p w:rsidR="000654C1" w:rsidRPr="00BC65EF" w:rsidRDefault="000654C1" w:rsidP="000654C1">
      <w:pPr>
        <w:spacing w:before="120" w:after="120"/>
        <w:jc w:val="both"/>
        <w:rPr>
          <w:sz w:val="20"/>
          <w:szCs w:val="20"/>
        </w:rPr>
      </w:pPr>
      <w:r w:rsidRPr="00BC65EF">
        <w:rPr>
          <w:sz w:val="20"/>
          <w:szCs w:val="20"/>
        </w:rPr>
        <w:t>Algılanan kalite; tüketicilerin, ürünü ya da hizmeti rakip işletmelerle karşılaştırdığında, markanın performansını oluşturan, toplam kalite ve diğer markalardan üstün olan yönlerini algılama biçimi olarak ifade edilebilir (Aaker, 1991).</w:t>
      </w:r>
    </w:p>
    <w:p w:rsidR="00BC65EF" w:rsidRPr="00BC65EF" w:rsidRDefault="00BC65EF" w:rsidP="00BC65EF">
      <w:pPr>
        <w:spacing w:before="120" w:after="120"/>
        <w:jc w:val="both"/>
        <w:rPr>
          <w:sz w:val="20"/>
          <w:szCs w:val="20"/>
        </w:rPr>
      </w:pPr>
      <w:r w:rsidRPr="00BC65EF">
        <w:rPr>
          <w:sz w:val="20"/>
          <w:szCs w:val="20"/>
        </w:rPr>
        <w:t xml:space="preserve">Marka çağrışımı; tüketicilerin markayla ilgili olarak zihninde oluşturduğu, markayla ilgili bir anlam ifade eden her şey olarak ifade edilebilir (Aaker, 1991, Keller, 1998). </w:t>
      </w:r>
    </w:p>
    <w:p w:rsidR="000654C1" w:rsidRDefault="000654C1" w:rsidP="000654C1">
      <w:pPr>
        <w:spacing w:before="120" w:after="120"/>
        <w:jc w:val="both"/>
        <w:rPr>
          <w:sz w:val="20"/>
          <w:szCs w:val="20"/>
        </w:rPr>
      </w:pPr>
      <w:r w:rsidRPr="000654C1">
        <w:rPr>
          <w:sz w:val="20"/>
          <w:szCs w:val="20"/>
        </w:rPr>
        <w:t>Marka sadakati; tercih edilmiş bir mal veya hizmeti gelecekte sürekli olarak satın almak, satın alma davranışını değiştirmeye neden olacak potansiyele sahip durumsal etkilere ve pazarlama çabalarına rağmen, aynı markayı satın almayı sürdürmek olarak tanımlanabilir (Oliver, 1999).</w:t>
      </w:r>
    </w:p>
    <w:p w:rsidR="003E0F54" w:rsidRPr="003E0F54" w:rsidRDefault="006A66C4" w:rsidP="003E0F54">
      <w:pPr>
        <w:spacing w:before="120" w:after="120"/>
        <w:jc w:val="both"/>
        <w:rPr>
          <w:sz w:val="20"/>
          <w:szCs w:val="20"/>
        </w:rPr>
      </w:pPr>
      <w:r>
        <w:rPr>
          <w:sz w:val="20"/>
          <w:szCs w:val="20"/>
        </w:rPr>
        <w:t>Marka tercihi de bu ç</w:t>
      </w:r>
      <w:r w:rsidR="001F5092">
        <w:rPr>
          <w:sz w:val="20"/>
          <w:szCs w:val="20"/>
        </w:rPr>
        <w:t>alışma</w:t>
      </w:r>
      <w:r>
        <w:rPr>
          <w:sz w:val="20"/>
          <w:szCs w:val="20"/>
        </w:rPr>
        <w:t>nın</w:t>
      </w:r>
      <w:r w:rsidR="001F5092">
        <w:rPr>
          <w:sz w:val="20"/>
          <w:szCs w:val="20"/>
        </w:rPr>
        <w:t xml:space="preserve"> bağım</w:t>
      </w:r>
      <w:r>
        <w:rPr>
          <w:sz w:val="20"/>
          <w:szCs w:val="20"/>
        </w:rPr>
        <w:t>lı</w:t>
      </w:r>
      <w:r w:rsidR="001F5092">
        <w:rPr>
          <w:sz w:val="20"/>
          <w:szCs w:val="20"/>
        </w:rPr>
        <w:t xml:space="preserve"> değişken</w:t>
      </w:r>
      <w:r>
        <w:rPr>
          <w:sz w:val="20"/>
          <w:szCs w:val="20"/>
        </w:rPr>
        <w:t>idir.</w:t>
      </w:r>
      <w:r w:rsidR="001F5092">
        <w:rPr>
          <w:sz w:val="20"/>
          <w:szCs w:val="20"/>
        </w:rPr>
        <w:t xml:space="preserve"> </w:t>
      </w:r>
      <w:r>
        <w:rPr>
          <w:sz w:val="20"/>
          <w:szCs w:val="20"/>
        </w:rPr>
        <w:t>Marka tercihini kısaca ifade etmek gerekirse</w:t>
      </w:r>
      <w:r w:rsidR="003E0F54" w:rsidRPr="003E0F54">
        <w:rPr>
          <w:sz w:val="20"/>
          <w:szCs w:val="20"/>
        </w:rPr>
        <w:t>; tüketicilerin, geçmiş satın alma dönemine ilişkin, yapmış oldukları değerlendirmeler sonucunda, bir markayı satın almaya devam etmeleri ve markaya ait o ürünü tekrar talep etmeleri şeklinde ifade edilebilir. Söz konusu talebin temelinde, tüketicilerin tatmin olmaları ana etkendir (Loudon ve Bitta, 1993).</w:t>
      </w:r>
    </w:p>
    <w:p w:rsidR="00BC65EF" w:rsidRDefault="0050065B" w:rsidP="005F657D">
      <w:pPr>
        <w:spacing w:before="120" w:after="120"/>
        <w:jc w:val="both"/>
        <w:rPr>
          <w:sz w:val="20"/>
          <w:szCs w:val="20"/>
        </w:rPr>
      </w:pPr>
      <w:r>
        <w:rPr>
          <w:sz w:val="20"/>
          <w:szCs w:val="20"/>
        </w:rPr>
        <w:t>Aile de, toplumdaki en önemli tüketim birimi ve satın alma organizasyonudur. Toplumsal yaşantıda meydana gelen değişimler, çocuksuz aile tipinin ve yalnız yaşayan birey kültürünün yaygınlaşması, kadının eğitim seviyesinin yükselmesi ve kadının çalışma hayatına daha fazla katılması</w:t>
      </w:r>
      <w:r w:rsidR="00847F0C">
        <w:rPr>
          <w:sz w:val="20"/>
          <w:szCs w:val="20"/>
        </w:rPr>
        <w:t>, ailenin küçülmesi</w:t>
      </w:r>
      <w:r>
        <w:rPr>
          <w:sz w:val="20"/>
          <w:szCs w:val="20"/>
        </w:rPr>
        <w:t xml:space="preserve"> vb. gelişmeler </w:t>
      </w:r>
      <w:r w:rsidR="00847F0C">
        <w:rPr>
          <w:sz w:val="20"/>
          <w:szCs w:val="20"/>
        </w:rPr>
        <w:t xml:space="preserve">aile için yapılan satın almalarda etkili olmaktadır. </w:t>
      </w:r>
      <w:r w:rsidR="00883B10">
        <w:rPr>
          <w:sz w:val="20"/>
          <w:szCs w:val="20"/>
        </w:rPr>
        <w:t>Bu nedenle aile, pazarlamacılar açısından göz</w:t>
      </w:r>
      <w:r w:rsidR="00A0313A">
        <w:rPr>
          <w:sz w:val="20"/>
          <w:szCs w:val="20"/>
        </w:rPr>
        <w:t xml:space="preserve"> </w:t>
      </w:r>
      <w:r w:rsidR="00883B10">
        <w:rPr>
          <w:sz w:val="20"/>
          <w:szCs w:val="20"/>
        </w:rPr>
        <w:t>ardı edilmemesi gereken bir etkendir (Yapraklı ve Can, 2009)</w:t>
      </w:r>
      <w:r w:rsidR="00BB119B">
        <w:rPr>
          <w:sz w:val="20"/>
          <w:szCs w:val="20"/>
        </w:rPr>
        <w:t>.</w:t>
      </w:r>
    </w:p>
    <w:p w:rsidR="003E0F54" w:rsidRDefault="00853C63" w:rsidP="005F657D">
      <w:pPr>
        <w:spacing w:before="120" w:after="120"/>
        <w:jc w:val="both"/>
        <w:rPr>
          <w:sz w:val="20"/>
          <w:szCs w:val="20"/>
        </w:rPr>
      </w:pPr>
      <w:r>
        <w:rPr>
          <w:sz w:val="20"/>
          <w:szCs w:val="20"/>
        </w:rPr>
        <w:t>Yazında, tüketici temelli marka değerinin marka tercihlerine etkisinde ailenin aracılı</w:t>
      </w:r>
      <w:r w:rsidR="005F503D">
        <w:rPr>
          <w:sz w:val="20"/>
          <w:szCs w:val="20"/>
        </w:rPr>
        <w:t>k</w:t>
      </w:r>
      <w:r>
        <w:rPr>
          <w:sz w:val="20"/>
          <w:szCs w:val="20"/>
        </w:rPr>
        <w:t xml:space="preserve"> rolünün araştırılmamış olması ve anılan ilişkide, ailenin aracılık rolünün olabileceğine yönelik değerlendirme bu çalışmanın yapılmasına dayanak teşkil etmiştir. Bu değerlendirmeler ışığında araştırmada sınanacak hipotezler aşağıda sunulmuştur.</w:t>
      </w:r>
    </w:p>
    <w:p w:rsidR="00513724" w:rsidRDefault="00513724" w:rsidP="005F657D">
      <w:pPr>
        <w:spacing w:before="120" w:after="120"/>
        <w:jc w:val="both"/>
        <w:rPr>
          <w:sz w:val="20"/>
          <w:szCs w:val="20"/>
        </w:rPr>
      </w:pPr>
      <w:r w:rsidRPr="008A7E3C">
        <w:rPr>
          <w:b/>
          <w:sz w:val="20"/>
          <w:szCs w:val="20"/>
        </w:rPr>
        <w:t>Hipotez 1:</w:t>
      </w:r>
      <w:r>
        <w:rPr>
          <w:sz w:val="20"/>
          <w:szCs w:val="20"/>
        </w:rPr>
        <w:t xml:space="preserve"> Marka farkındalığı marka tercihini pozitif yönde etkiler.</w:t>
      </w:r>
    </w:p>
    <w:p w:rsidR="00513724" w:rsidRDefault="00513724" w:rsidP="005F657D">
      <w:pPr>
        <w:spacing w:before="120" w:after="120"/>
        <w:jc w:val="both"/>
        <w:rPr>
          <w:sz w:val="20"/>
          <w:szCs w:val="20"/>
        </w:rPr>
      </w:pPr>
      <w:r w:rsidRPr="008A7E3C">
        <w:rPr>
          <w:b/>
          <w:sz w:val="20"/>
          <w:szCs w:val="20"/>
        </w:rPr>
        <w:t>Hipotez 2:</w:t>
      </w:r>
      <w:r>
        <w:rPr>
          <w:sz w:val="20"/>
          <w:szCs w:val="20"/>
        </w:rPr>
        <w:t xml:space="preserve"> Algılanan kalite marka tercihini pozitif yönde etkiler.</w:t>
      </w:r>
    </w:p>
    <w:p w:rsidR="00513724" w:rsidRDefault="00513724" w:rsidP="005F657D">
      <w:pPr>
        <w:spacing w:before="120" w:after="120"/>
        <w:jc w:val="both"/>
        <w:rPr>
          <w:sz w:val="20"/>
          <w:szCs w:val="20"/>
        </w:rPr>
      </w:pPr>
      <w:r w:rsidRPr="008A7E3C">
        <w:rPr>
          <w:b/>
          <w:sz w:val="20"/>
          <w:szCs w:val="20"/>
        </w:rPr>
        <w:t>Hipotez 3:</w:t>
      </w:r>
      <w:r>
        <w:rPr>
          <w:sz w:val="20"/>
          <w:szCs w:val="20"/>
        </w:rPr>
        <w:t xml:space="preserve"> Marka çağrışımları marka tercihini pozitif yönde etkiler.</w:t>
      </w:r>
    </w:p>
    <w:p w:rsidR="00513724" w:rsidRDefault="00513724" w:rsidP="005F657D">
      <w:pPr>
        <w:spacing w:before="120" w:after="120"/>
        <w:jc w:val="both"/>
        <w:rPr>
          <w:sz w:val="20"/>
          <w:szCs w:val="20"/>
        </w:rPr>
      </w:pPr>
      <w:r w:rsidRPr="008A7E3C">
        <w:rPr>
          <w:b/>
          <w:sz w:val="20"/>
          <w:szCs w:val="20"/>
        </w:rPr>
        <w:t>Hipotez 4:</w:t>
      </w:r>
      <w:r>
        <w:rPr>
          <w:sz w:val="20"/>
          <w:szCs w:val="20"/>
        </w:rPr>
        <w:t xml:space="preserve"> Marka sadakati marka tercihini pozitif yönde etkiler.</w:t>
      </w:r>
    </w:p>
    <w:p w:rsidR="00513724" w:rsidRPr="00513724" w:rsidRDefault="00513724" w:rsidP="005F657D">
      <w:pPr>
        <w:spacing w:before="120" w:after="120"/>
        <w:jc w:val="both"/>
        <w:rPr>
          <w:sz w:val="20"/>
          <w:szCs w:val="20"/>
        </w:rPr>
      </w:pPr>
      <w:r w:rsidRPr="008A7E3C">
        <w:rPr>
          <w:b/>
          <w:sz w:val="20"/>
          <w:szCs w:val="20"/>
        </w:rPr>
        <w:t>Hipotez 5:</w:t>
      </w:r>
      <w:r>
        <w:rPr>
          <w:sz w:val="20"/>
          <w:szCs w:val="20"/>
        </w:rPr>
        <w:t xml:space="preserve"> Tüketici temelli marka değeri alt boyutları ile marka tercihleri arasındaki ilişkide ailenin aracılık rolü vardır.</w:t>
      </w:r>
    </w:p>
    <w:p w:rsidR="005F657D" w:rsidRDefault="005F657D" w:rsidP="005F657D">
      <w:pPr>
        <w:spacing w:before="120" w:after="120"/>
        <w:rPr>
          <w:b/>
          <w:sz w:val="20"/>
          <w:szCs w:val="20"/>
        </w:rPr>
      </w:pPr>
      <w:r>
        <w:rPr>
          <w:b/>
          <w:sz w:val="20"/>
          <w:szCs w:val="20"/>
        </w:rPr>
        <w:t>3. YÖNTEM</w:t>
      </w:r>
    </w:p>
    <w:p w:rsidR="00E47D7E" w:rsidRPr="00E47D7E" w:rsidRDefault="00E47D7E" w:rsidP="00E47D7E">
      <w:pPr>
        <w:spacing w:before="120" w:after="120"/>
        <w:jc w:val="both"/>
        <w:rPr>
          <w:sz w:val="20"/>
          <w:szCs w:val="20"/>
        </w:rPr>
      </w:pPr>
      <w:r>
        <w:rPr>
          <w:color w:val="000000"/>
          <w:sz w:val="20"/>
        </w:rPr>
        <w:t>Araştırma uygulamalı bir araştırma olup betimsel olarak yapılmıştır. Tüketici temelli marka değeri için Aaker’in (1991) dört boyutlu modeli (marka farkındalığı, algılanan kalite, marka çağrışımları ve marka sadakati) kullanılmıştır.</w:t>
      </w:r>
      <w:r w:rsidR="000A2CF2">
        <w:rPr>
          <w:color w:val="000000"/>
          <w:sz w:val="20"/>
        </w:rPr>
        <w:t xml:space="preserve"> Veriler SPSS 19 ve AMOS</w:t>
      </w:r>
      <w:r w:rsidR="00513724">
        <w:rPr>
          <w:color w:val="000000"/>
          <w:sz w:val="20"/>
        </w:rPr>
        <w:t xml:space="preserve"> istatistik programları yardımıyla analiz edilmiştir.</w:t>
      </w:r>
    </w:p>
    <w:p w:rsidR="005F657D" w:rsidRDefault="005F657D" w:rsidP="005F657D">
      <w:pPr>
        <w:spacing w:before="120" w:after="120"/>
        <w:rPr>
          <w:b/>
          <w:sz w:val="20"/>
          <w:szCs w:val="20"/>
        </w:rPr>
      </w:pPr>
      <w:r>
        <w:rPr>
          <w:b/>
          <w:sz w:val="20"/>
          <w:szCs w:val="20"/>
        </w:rPr>
        <w:t>3.1. Katılımcılar</w:t>
      </w:r>
    </w:p>
    <w:p w:rsidR="000D316D" w:rsidRDefault="00E47D7E" w:rsidP="00E47D7E">
      <w:pPr>
        <w:spacing w:before="120" w:after="120"/>
        <w:jc w:val="both"/>
        <w:rPr>
          <w:sz w:val="20"/>
          <w:szCs w:val="20"/>
        </w:rPr>
      </w:pPr>
      <w:r w:rsidRPr="00E47D7E">
        <w:rPr>
          <w:sz w:val="20"/>
          <w:szCs w:val="20"/>
        </w:rPr>
        <w:t>Bu çalışmada veriler, kolayda örnekleme yöntemi ile anlık (cross-sectional) olarak toplan</w:t>
      </w:r>
      <w:r>
        <w:rPr>
          <w:sz w:val="20"/>
          <w:szCs w:val="20"/>
        </w:rPr>
        <w:t xml:space="preserve">mıştır. </w:t>
      </w:r>
      <w:r w:rsidR="007B3AD2">
        <w:rPr>
          <w:sz w:val="20"/>
          <w:szCs w:val="20"/>
        </w:rPr>
        <w:t xml:space="preserve">Katılımcılardan anket sorularını, evlerinde kullandıkları beyaz eşya markasını esas alarak cevaplandırmaları istenmiştir. </w:t>
      </w:r>
      <w:r>
        <w:rPr>
          <w:sz w:val="20"/>
          <w:szCs w:val="20"/>
        </w:rPr>
        <w:t xml:space="preserve">500 kişiye anket gönderilmiş dönen 320 anketten </w:t>
      </w:r>
      <w:r w:rsidR="003D5226">
        <w:rPr>
          <w:sz w:val="20"/>
          <w:szCs w:val="20"/>
        </w:rPr>
        <w:t xml:space="preserve">bilgileri tam olan </w:t>
      </w:r>
      <w:r>
        <w:rPr>
          <w:sz w:val="20"/>
          <w:szCs w:val="20"/>
        </w:rPr>
        <w:t xml:space="preserve">295’i analize dahil edilmiştir. </w:t>
      </w:r>
      <w:r w:rsidR="000D316D">
        <w:rPr>
          <w:sz w:val="20"/>
          <w:szCs w:val="20"/>
        </w:rPr>
        <w:t>K</w:t>
      </w:r>
      <w:r>
        <w:rPr>
          <w:sz w:val="20"/>
          <w:szCs w:val="20"/>
        </w:rPr>
        <w:t>atılımcıların</w:t>
      </w:r>
      <w:r w:rsidR="000D316D">
        <w:rPr>
          <w:sz w:val="20"/>
          <w:szCs w:val="20"/>
        </w:rPr>
        <w:t>;</w:t>
      </w:r>
      <w:r>
        <w:rPr>
          <w:sz w:val="20"/>
          <w:szCs w:val="20"/>
        </w:rPr>
        <w:t xml:space="preserve"> </w:t>
      </w:r>
      <w:r w:rsidR="000D316D">
        <w:rPr>
          <w:sz w:val="20"/>
          <w:szCs w:val="20"/>
        </w:rPr>
        <w:t xml:space="preserve">%32,9’u (N=97) kadın, %67,1’i (N=198) erkektir. %41’i (N=121) evli, %57,3’ü (N=169) bekârdır. %68,1’i (N=201) üniversite mezunu, </w:t>
      </w:r>
      <w:r w:rsidR="009835C7">
        <w:rPr>
          <w:sz w:val="20"/>
          <w:szCs w:val="20"/>
        </w:rPr>
        <w:t>%48,8’i (N=144) 18-27 yaş aralığında, %60,7’si (N=</w:t>
      </w:r>
      <w:r w:rsidR="00634795">
        <w:rPr>
          <w:sz w:val="20"/>
          <w:szCs w:val="20"/>
        </w:rPr>
        <w:t xml:space="preserve">179) </w:t>
      </w:r>
      <w:r w:rsidR="009835C7">
        <w:rPr>
          <w:sz w:val="20"/>
          <w:szCs w:val="20"/>
        </w:rPr>
        <w:t xml:space="preserve">1501-3000 TL gelir aralığındadır. </w:t>
      </w:r>
      <w:r w:rsidR="00634795">
        <w:rPr>
          <w:sz w:val="20"/>
          <w:szCs w:val="20"/>
        </w:rPr>
        <w:t>Katılımcıların; %38’i (N=112) Arçelik, %25,1’i (N=74) Bosch, %11,9’u (N=35) Beko markasını kullandıklarını belirtmişlerdir.</w:t>
      </w:r>
    </w:p>
    <w:p w:rsidR="005F657D" w:rsidRDefault="005F657D" w:rsidP="005F657D">
      <w:pPr>
        <w:spacing w:before="120" w:after="120"/>
        <w:rPr>
          <w:b/>
          <w:sz w:val="20"/>
          <w:szCs w:val="20"/>
        </w:rPr>
      </w:pPr>
      <w:r>
        <w:rPr>
          <w:b/>
          <w:sz w:val="20"/>
          <w:szCs w:val="20"/>
        </w:rPr>
        <w:t>3.2. Ölçüm Araçları</w:t>
      </w:r>
    </w:p>
    <w:p w:rsidR="004B3B08" w:rsidRDefault="004B3B08" w:rsidP="004B3B08">
      <w:pPr>
        <w:autoSpaceDE w:val="0"/>
        <w:autoSpaceDN w:val="0"/>
        <w:adjustRightInd w:val="0"/>
        <w:spacing w:before="120" w:after="120"/>
        <w:jc w:val="both"/>
        <w:rPr>
          <w:color w:val="000000"/>
          <w:sz w:val="20"/>
        </w:rPr>
      </w:pPr>
      <w:r>
        <w:rPr>
          <w:color w:val="000000"/>
          <w:sz w:val="20"/>
        </w:rPr>
        <w:t>T</w:t>
      </w:r>
      <w:r w:rsidR="00E47D7E">
        <w:rPr>
          <w:color w:val="000000"/>
          <w:sz w:val="20"/>
        </w:rPr>
        <w:t>üketici temelli marka değeri ölçeği; Aaker (1996), Lassar</w:t>
      </w:r>
      <w:r w:rsidR="00CE41B0">
        <w:rPr>
          <w:color w:val="000000"/>
          <w:sz w:val="20"/>
        </w:rPr>
        <w:t>, Mittal ve Sharma</w:t>
      </w:r>
      <w:r w:rsidR="00E47D7E">
        <w:rPr>
          <w:color w:val="000000"/>
          <w:sz w:val="20"/>
        </w:rPr>
        <w:t xml:space="preserve"> (1995), Netemeyer vd. (2004), Pappu</w:t>
      </w:r>
      <w:r w:rsidR="00CE2C2A">
        <w:rPr>
          <w:color w:val="000000"/>
          <w:sz w:val="20"/>
        </w:rPr>
        <w:t>, Quester ve Cooksey</w:t>
      </w:r>
      <w:r w:rsidR="00E47D7E">
        <w:rPr>
          <w:color w:val="000000"/>
          <w:sz w:val="20"/>
        </w:rPr>
        <w:t xml:space="preserve"> (2005-2006) ve Yoo v</w:t>
      </w:r>
      <w:r w:rsidR="00CE2C2A">
        <w:rPr>
          <w:color w:val="000000"/>
          <w:sz w:val="20"/>
        </w:rPr>
        <w:t>e Donthu</w:t>
      </w:r>
      <w:r w:rsidR="00E47D7E">
        <w:rPr>
          <w:color w:val="000000"/>
          <w:sz w:val="20"/>
        </w:rPr>
        <w:t xml:space="preserve"> (2001)</w:t>
      </w:r>
      <w:r>
        <w:rPr>
          <w:color w:val="000000"/>
          <w:sz w:val="20"/>
        </w:rPr>
        <w:t>, marka tercihi ölçeği Chang v</w:t>
      </w:r>
      <w:r w:rsidR="00CE2C2A">
        <w:rPr>
          <w:color w:val="000000"/>
          <w:sz w:val="20"/>
        </w:rPr>
        <w:t>e Liu</w:t>
      </w:r>
      <w:r>
        <w:rPr>
          <w:color w:val="000000"/>
          <w:sz w:val="20"/>
        </w:rPr>
        <w:t xml:space="preserve"> (2009) ve </w:t>
      </w:r>
      <w:r>
        <w:rPr>
          <w:color w:val="000000"/>
          <w:sz w:val="20"/>
        </w:rPr>
        <w:lastRenderedPageBreak/>
        <w:t>aile değişkeni ölçeği de Gil</w:t>
      </w:r>
      <w:r w:rsidR="00E93FD2">
        <w:rPr>
          <w:color w:val="000000"/>
          <w:sz w:val="20"/>
        </w:rPr>
        <w:t>, Andres ve Salina</w:t>
      </w:r>
      <w:r>
        <w:rPr>
          <w:color w:val="000000"/>
          <w:sz w:val="20"/>
        </w:rPr>
        <w:t xml:space="preserve"> (2007) tarafından geliştirilen ölçekler kullanılmıştır. Tüketici temelli marka değeri ölçeği; marka farkındalığı 5 ifade, </w:t>
      </w:r>
      <w:r w:rsidR="00844F42">
        <w:rPr>
          <w:color w:val="000000"/>
          <w:sz w:val="20"/>
        </w:rPr>
        <w:t>Algılanan Kalite 4 ifade, Marka Çağrışımları 9 ifade, Marka Sadakati 3 ifade olmak üzere 21 ifade ve dört alt boyuttan, marka tercihi ölçeği 4 ifade, aile 5 ifade olmak üzere toplam 30 ifadeden oluşmaktadır. Ölçek 7’li likert şeklinde düzenlenmiştir (1=Kesinlikle Katılıyorum, 4=Kararsızım, 7=Kesinlikle Katılmıyorum).</w:t>
      </w:r>
    </w:p>
    <w:p w:rsidR="005F657D" w:rsidRDefault="005F657D" w:rsidP="005F657D">
      <w:pPr>
        <w:autoSpaceDE w:val="0"/>
        <w:autoSpaceDN w:val="0"/>
        <w:adjustRightInd w:val="0"/>
        <w:spacing w:before="120" w:after="120"/>
        <w:jc w:val="both"/>
        <w:rPr>
          <w:b/>
          <w:sz w:val="20"/>
          <w:szCs w:val="20"/>
        </w:rPr>
      </w:pPr>
      <w:r w:rsidRPr="00055FFB">
        <w:rPr>
          <w:b/>
          <w:sz w:val="20"/>
          <w:szCs w:val="20"/>
        </w:rPr>
        <w:t>3.3</w:t>
      </w:r>
      <w:r>
        <w:rPr>
          <w:sz w:val="20"/>
          <w:szCs w:val="20"/>
        </w:rPr>
        <w:t>.</w:t>
      </w:r>
      <w:r>
        <w:rPr>
          <w:b/>
          <w:sz w:val="20"/>
          <w:szCs w:val="20"/>
        </w:rPr>
        <w:t xml:space="preserve"> Ölçeklerin Geçerliliği</w:t>
      </w:r>
    </w:p>
    <w:p w:rsidR="003001CB" w:rsidRDefault="00960462" w:rsidP="00960462">
      <w:pPr>
        <w:spacing w:after="120"/>
        <w:jc w:val="both"/>
        <w:rPr>
          <w:color w:val="000000"/>
          <w:sz w:val="20"/>
        </w:rPr>
      </w:pPr>
      <w:r w:rsidRPr="003001CB">
        <w:rPr>
          <w:color w:val="000000"/>
          <w:sz w:val="20"/>
        </w:rPr>
        <w:t>Kullanılan ölçeklerin geçerliliğini test etmek için doğrulayıcı faktör analizi yapılmıştır. Bu çerçevede</w:t>
      </w:r>
      <w:r w:rsidR="003001CB">
        <w:rPr>
          <w:color w:val="000000"/>
          <w:sz w:val="20"/>
        </w:rPr>
        <w:t>, tüketici temelli marka değeri ölçeğinin dört, marka tercihi ve ailenin etkisi ölçeklerinin tek boyutlu yapıları doğrulanmıştır.</w:t>
      </w:r>
    </w:p>
    <w:p w:rsidR="005F657D" w:rsidRDefault="005F657D" w:rsidP="005F657D">
      <w:pPr>
        <w:spacing w:before="120" w:after="60"/>
        <w:rPr>
          <w:b/>
          <w:sz w:val="20"/>
          <w:szCs w:val="20"/>
        </w:rPr>
      </w:pPr>
      <w:r>
        <w:rPr>
          <w:b/>
          <w:sz w:val="20"/>
          <w:szCs w:val="20"/>
        </w:rPr>
        <w:t>4. BULGULAR</w:t>
      </w:r>
    </w:p>
    <w:p w:rsidR="00905E1C" w:rsidRDefault="003001CB" w:rsidP="005F657D">
      <w:pPr>
        <w:spacing w:before="120" w:after="60"/>
        <w:rPr>
          <w:sz w:val="20"/>
          <w:szCs w:val="20"/>
        </w:rPr>
      </w:pPr>
      <w:r>
        <w:rPr>
          <w:sz w:val="20"/>
          <w:szCs w:val="20"/>
        </w:rPr>
        <w:t xml:space="preserve">Değişkenlerin boyutları arası korelasyon ve betimleyici istatistik tablosu Tablo </w:t>
      </w:r>
      <w:r w:rsidR="009835C7">
        <w:rPr>
          <w:sz w:val="20"/>
          <w:szCs w:val="20"/>
        </w:rPr>
        <w:t>1</w:t>
      </w:r>
      <w:r>
        <w:rPr>
          <w:sz w:val="20"/>
          <w:szCs w:val="20"/>
        </w:rPr>
        <w:t xml:space="preserve">’de, marka tercihini etkileyen değişkenlere ait hiyerarşik regresyon analizi Tablo </w:t>
      </w:r>
      <w:r w:rsidR="009835C7">
        <w:rPr>
          <w:sz w:val="20"/>
          <w:szCs w:val="20"/>
        </w:rPr>
        <w:t>2</w:t>
      </w:r>
      <w:r>
        <w:rPr>
          <w:sz w:val="20"/>
          <w:szCs w:val="20"/>
        </w:rPr>
        <w:t>’te sunulmuştur.</w:t>
      </w:r>
      <w:r w:rsidR="00723422">
        <w:rPr>
          <w:sz w:val="20"/>
          <w:szCs w:val="20"/>
        </w:rPr>
        <w:t xml:space="preserve"> Tablo </w:t>
      </w:r>
      <w:r w:rsidR="009835C7">
        <w:rPr>
          <w:sz w:val="20"/>
          <w:szCs w:val="20"/>
        </w:rPr>
        <w:t>1</w:t>
      </w:r>
      <w:r w:rsidR="00723422">
        <w:rPr>
          <w:sz w:val="20"/>
          <w:szCs w:val="20"/>
        </w:rPr>
        <w:t>’deki bulgulardan da anlaşılacağı üzere tüm değişkenler arasında anlamlı ve aynı yönlü ilişki vardır.</w:t>
      </w:r>
    </w:p>
    <w:p w:rsidR="00634795" w:rsidRPr="003001CB" w:rsidRDefault="00634795" w:rsidP="005F657D">
      <w:pPr>
        <w:spacing w:before="120" w:after="60"/>
        <w:rPr>
          <w:sz w:val="20"/>
          <w:szCs w:val="20"/>
        </w:rPr>
      </w:pPr>
    </w:p>
    <w:p w:rsidR="00551053" w:rsidRDefault="001315A5" w:rsidP="001315A5">
      <w:pPr>
        <w:spacing w:before="120" w:after="120"/>
        <w:jc w:val="center"/>
        <w:rPr>
          <w:sz w:val="20"/>
          <w:szCs w:val="20"/>
        </w:rPr>
      </w:pPr>
      <w:r w:rsidRPr="003D5226">
        <w:rPr>
          <w:b/>
          <w:sz w:val="20"/>
          <w:szCs w:val="20"/>
        </w:rPr>
        <w:t xml:space="preserve">Tablo </w:t>
      </w:r>
      <w:r w:rsidR="009835C7">
        <w:rPr>
          <w:b/>
          <w:sz w:val="20"/>
          <w:szCs w:val="20"/>
        </w:rPr>
        <w:t>1</w:t>
      </w:r>
      <w:r w:rsidRPr="003D5226">
        <w:rPr>
          <w:b/>
          <w:sz w:val="20"/>
          <w:szCs w:val="20"/>
        </w:rPr>
        <w:t>:</w:t>
      </w:r>
      <w:r>
        <w:rPr>
          <w:b/>
          <w:sz w:val="20"/>
          <w:szCs w:val="20"/>
        </w:rPr>
        <w:t xml:space="preserve"> </w:t>
      </w:r>
      <w:r w:rsidR="009B348E">
        <w:rPr>
          <w:sz w:val="20"/>
          <w:szCs w:val="20"/>
        </w:rPr>
        <w:t xml:space="preserve">Boyutlar Arası </w:t>
      </w:r>
      <w:r>
        <w:rPr>
          <w:sz w:val="20"/>
          <w:szCs w:val="20"/>
        </w:rPr>
        <w:t>Korelasyon</w:t>
      </w:r>
      <w:r w:rsidR="009B348E">
        <w:rPr>
          <w:sz w:val="20"/>
          <w:szCs w:val="20"/>
        </w:rPr>
        <w:t>lar ve Betimleyici İstatistikler</w:t>
      </w:r>
      <w:r>
        <w:rPr>
          <w:sz w:val="20"/>
          <w:szCs w:val="20"/>
        </w:rPr>
        <w:t xml:space="preserve"> Tablosu</w:t>
      </w:r>
      <w:r w:rsidR="008A61CE">
        <w:rPr>
          <w:sz w:val="20"/>
          <w:szCs w:val="20"/>
        </w:rPr>
        <w:t xml:space="preserve"> </w:t>
      </w:r>
    </w:p>
    <w:tbl>
      <w:tblPr>
        <w:tblStyle w:val="TabloKlavuzu"/>
        <w:tblW w:w="9322" w:type="dxa"/>
        <w:tblLayout w:type="fixed"/>
        <w:tblLook w:val="04A0" w:firstRow="1" w:lastRow="0" w:firstColumn="1" w:lastColumn="0" w:noHBand="0" w:noVBand="1"/>
      </w:tblPr>
      <w:tblGrid>
        <w:gridCol w:w="1809"/>
        <w:gridCol w:w="993"/>
        <w:gridCol w:w="567"/>
        <w:gridCol w:w="1275"/>
        <w:gridCol w:w="993"/>
        <w:gridCol w:w="1275"/>
        <w:gridCol w:w="993"/>
        <w:gridCol w:w="850"/>
        <w:gridCol w:w="567"/>
      </w:tblGrid>
      <w:tr w:rsidR="00A96B46" w:rsidRPr="00905E1C" w:rsidTr="00A96B46">
        <w:trPr>
          <w:trHeight w:val="20"/>
        </w:trPr>
        <w:tc>
          <w:tcPr>
            <w:tcW w:w="1809" w:type="dxa"/>
            <w:vAlign w:val="center"/>
          </w:tcPr>
          <w:p w:rsidR="00551053" w:rsidRPr="00905E1C" w:rsidRDefault="00551053" w:rsidP="00822C9B">
            <w:pPr>
              <w:rPr>
                <w:sz w:val="18"/>
                <w:szCs w:val="18"/>
              </w:rPr>
            </w:pPr>
          </w:p>
        </w:tc>
        <w:tc>
          <w:tcPr>
            <w:tcW w:w="993" w:type="dxa"/>
            <w:vAlign w:val="center"/>
          </w:tcPr>
          <w:p w:rsidR="00551053" w:rsidRPr="00A96B46" w:rsidRDefault="00551053" w:rsidP="00A96B46">
            <w:pPr>
              <w:jc w:val="center"/>
              <w:rPr>
                <w:b/>
                <w:sz w:val="18"/>
                <w:szCs w:val="18"/>
              </w:rPr>
            </w:pPr>
            <w:r w:rsidRPr="00A96B46">
              <w:rPr>
                <w:b/>
                <w:sz w:val="18"/>
                <w:szCs w:val="18"/>
              </w:rPr>
              <w:t>Ortalama</w:t>
            </w:r>
          </w:p>
        </w:tc>
        <w:tc>
          <w:tcPr>
            <w:tcW w:w="567" w:type="dxa"/>
            <w:vAlign w:val="center"/>
          </w:tcPr>
          <w:p w:rsidR="00551053" w:rsidRPr="00A96B46" w:rsidRDefault="00551053" w:rsidP="00A96B46">
            <w:pPr>
              <w:jc w:val="center"/>
              <w:rPr>
                <w:b/>
                <w:sz w:val="18"/>
                <w:szCs w:val="18"/>
              </w:rPr>
            </w:pPr>
            <w:r w:rsidRPr="00A96B46">
              <w:rPr>
                <w:b/>
                <w:sz w:val="18"/>
                <w:szCs w:val="18"/>
              </w:rPr>
              <w:t>SS</w:t>
            </w:r>
          </w:p>
        </w:tc>
        <w:tc>
          <w:tcPr>
            <w:tcW w:w="1275" w:type="dxa"/>
            <w:vAlign w:val="center"/>
          </w:tcPr>
          <w:p w:rsidR="00551053" w:rsidRPr="00A96B46" w:rsidRDefault="00551053" w:rsidP="00A96B46">
            <w:pPr>
              <w:jc w:val="center"/>
              <w:rPr>
                <w:b/>
                <w:sz w:val="18"/>
                <w:szCs w:val="18"/>
              </w:rPr>
            </w:pPr>
            <w:r w:rsidRPr="00A96B46">
              <w:rPr>
                <w:b/>
                <w:sz w:val="18"/>
                <w:szCs w:val="18"/>
              </w:rPr>
              <w:t>Marka Farkındalığı</w:t>
            </w:r>
          </w:p>
        </w:tc>
        <w:tc>
          <w:tcPr>
            <w:tcW w:w="993" w:type="dxa"/>
            <w:vAlign w:val="center"/>
          </w:tcPr>
          <w:p w:rsidR="00551053" w:rsidRPr="00A96B46" w:rsidRDefault="00551053" w:rsidP="00A96B46">
            <w:pPr>
              <w:jc w:val="center"/>
              <w:rPr>
                <w:b/>
                <w:sz w:val="18"/>
                <w:szCs w:val="18"/>
              </w:rPr>
            </w:pPr>
            <w:r w:rsidRPr="00A96B46">
              <w:rPr>
                <w:b/>
                <w:sz w:val="18"/>
                <w:szCs w:val="18"/>
              </w:rPr>
              <w:t>Algılanan Kalite</w:t>
            </w:r>
          </w:p>
        </w:tc>
        <w:tc>
          <w:tcPr>
            <w:tcW w:w="1275" w:type="dxa"/>
            <w:vAlign w:val="center"/>
          </w:tcPr>
          <w:p w:rsidR="00551053" w:rsidRPr="00A96B46" w:rsidRDefault="00551053" w:rsidP="00A96B46">
            <w:pPr>
              <w:jc w:val="center"/>
              <w:rPr>
                <w:b/>
                <w:sz w:val="18"/>
                <w:szCs w:val="18"/>
              </w:rPr>
            </w:pPr>
            <w:r w:rsidRPr="00A96B46">
              <w:rPr>
                <w:b/>
                <w:sz w:val="18"/>
                <w:szCs w:val="18"/>
              </w:rPr>
              <w:t>Marka Çağrışımları</w:t>
            </w:r>
          </w:p>
        </w:tc>
        <w:tc>
          <w:tcPr>
            <w:tcW w:w="993" w:type="dxa"/>
            <w:vAlign w:val="center"/>
          </w:tcPr>
          <w:p w:rsidR="00551053" w:rsidRPr="00A96B46" w:rsidRDefault="00551053" w:rsidP="00A96B46">
            <w:pPr>
              <w:jc w:val="center"/>
              <w:rPr>
                <w:b/>
                <w:sz w:val="18"/>
                <w:szCs w:val="18"/>
              </w:rPr>
            </w:pPr>
            <w:r w:rsidRPr="00A96B46">
              <w:rPr>
                <w:b/>
                <w:sz w:val="18"/>
                <w:szCs w:val="18"/>
              </w:rPr>
              <w:t>Marka Sadakati</w:t>
            </w:r>
          </w:p>
        </w:tc>
        <w:tc>
          <w:tcPr>
            <w:tcW w:w="850" w:type="dxa"/>
            <w:vAlign w:val="center"/>
          </w:tcPr>
          <w:p w:rsidR="00551053" w:rsidRPr="00A96B46" w:rsidRDefault="00551053" w:rsidP="00A96B46">
            <w:pPr>
              <w:jc w:val="center"/>
              <w:rPr>
                <w:b/>
                <w:sz w:val="18"/>
                <w:szCs w:val="18"/>
              </w:rPr>
            </w:pPr>
            <w:r w:rsidRPr="00A96B46">
              <w:rPr>
                <w:b/>
                <w:sz w:val="18"/>
                <w:szCs w:val="18"/>
              </w:rPr>
              <w:t>Marka Tercihi</w:t>
            </w:r>
          </w:p>
        </w:tc>
        <w:tc>
          <w:tcPr>
            <w:tcW w:w="567" w:type="dxa"/>
            <w:vAlign w:val="center"/>
          </w:tcPr>
          <w:p w:rsidR="00551053" w:rsidRPr="00A96B46" w:rsidRDefault="00551053" w:rsidP="00A96B46">
            <w:pPr>
              <w:jc w:val="center"/>
              <w:rPr>
                <w:b/>
                <w:sz w:val="18"/>
                <w:szCs w:val="18"/>
              </w:rPr>
            </w:pPr>
            <w:r w:rsidRPr="00A96B46">
              <w:rPr>
                <w:b/>
                <w:sz w:val="18"/>
                <w:szCs w:val="18"/>
              </w:rPr>
              <w:t>Aile</w:t>
            </w:r>
          </w:p>
        </w:tc>
      </w:tr>
      <w:tr w:rsidR="00A96B46" w:rsidRPr="00905E1C" w:rsidTr="00A96B46">
        <w:trPr>
          <w:trHeight w:val="20"/>
        </w:trPr>
        <w:tc>
          <w:tcPr>
            <w:tcW w:w="1809" w:type="dxa"/>
            <w:vAlign w:val="center"/>
          </w:tcPr>
          <w:p w:rsidR="00551053" w:rsidRPr="00A96B46" w:rsidRDefault="00551053" w:rsidP="00822C9B">
            <w:pPr>
              <w:rPr>
                <w:b/>
                <w:sz w:val="18"/>
                <w:szCs w:val="18"/>
              </w:rPr>
            </w:pPr>
            <w:r w:rsidRPr="00A96B46">
              <w:rPr>
                <w:b/>
                <w:sz w:val="18"/>
                <w:szCs w:val="18"/>
              </w:rPr>
              <w:t>Marka Farkındalığı</w:t>
            </w:r>
          </w:p>
        </w:tc>
        <w:tc>
          <w:tcPr>
            <w:tcW w:w="993" w:type="dxa"/>
            <w:vAlign w:val="center"/>
          </w:tcPr>
          <w:p w:rsidR="00551053" w:rsidRPr="00905E1C" w:rsidRDefault="001315A5" w:rsidP="00822C9B">
            <w:pPr>
              <w:jc w:val="center"/>
              <w:rPr>
                <w:sz w:val="18"/>
                <w:szCs w:val="18"/>
              </w:rPr>
            </w:pPr>
            <w:r w:rsidRPr="00905E1C">
              <w:rPr>
                <w:sz w:val="18"/>
                <w:szCs w:val="18"/>
              </w:rPr>
              <w:t>2.54</w:t>
            </w:r>
          </w:p>
        </w:tc>
        <w:tc>
          <w:tcPr>
            <w:tcW w:w="567" w:type="dxa"/>
            <w:vAlign w:val="center"/>
          </w:tcPr>
          <w:p w:rsidR="00551053" w:rsidRPr="00905E1C" w:rsidRDefault="001315A5" w:rsidP="00822C9B">
            <w:pPr>
              <w:jc w:val="center"/>
              <w:rPr>
                <w:sz w:val="18"/>
                <w:szCs w:val="18"/>
              </w:rPr>
            </w:pPr>
            <w:r w:rsidRPr="00905E1C">
              <w:rPr>
                <w:sz w:val="18"/>
                <w:szCs w:val="18"/>
              </w:rPr>
              <w:t>1.41</w:t>
            </w:r>
          </w:p>
        </w:tc>
        <w:tc>
          <w:tcPr>
            <w:tcW w:w="1275" w:type="dxa"/>
            <w:vAlign w:val="center"/>
          </w:tcPr>
          <w:p w:rsidR="00551053" w:rsidRPr="00905E1C" w:rsidRDefault="0019071D" w:rsidP="00822C9B">
            <w:pPr>
              <w:jc w:val="center"/>
              <w:rPr>
                <w:sz w:val="18"/>
                <w:szCs w:val="18"/>
              </w:rPr>
            </w:pPr>
            <w:r w:rsidRPr="00905E1C">
              <w:rPr>
                <w:sz w:val="18"/>
                <w:szCs w:val="18"/>
              </w:rPr>
              <w:t>(</w:t>
            </w:r>
            <w:r w:rsidR="00551053" w:rsidRPr="00905E1C">
              <w:rPr>
                <w:sz w:val="18"/>
                <w:szCs w:val="18"/>
              </w:rPr>
              <w:t>.</w:t>
            </w:r>
            <w:r w:rsidRPr="00905E1C">
              <w:rPr>
                <w:sz w:val="18"/>
                <w:szCs w:val="18"/>
              </w:rPr>
              <w:t>8</w:t>
            </w:r>
            <w:r w:rsidR="00551053" w:rsidRPr="00905E1C">
              <w:rPr>
                <w:sz w:val="18"/>
                <w:szCs w:val="18"/>
              </w:rPr>
              <w:t>9</w:t>
            </w:r>
            <w:r w:rsidRPr="00905E1C">
              <w:rPr>
                <w:sz w:val="18"/>
                <w:szCs w:val="18"/>
              </w:rPr>
              <w:t>)</w:t>
            </w:r>
          </w:p>
        </w:tc>
        <w:tc>
          <w:tcPr>
            <w:tcW w:w="993" w:type="dxa"/>
            <w:vAlign w:val="center"/>
          </w:tcPr>
          <w:p w:rsidR="00551053" w:rsidRPr="00905E1C" w:rsidRDefault="00551053" w:rsidP="00822C9B">
            <w:pPr>
              <w:jc w:val="center"/>
              <w:rPr>
                <w:sz w:val="18"/>
                <w:szCs w:val="18"/>
              </w:rPr>
            </w:pPr>
          </w:p>
        </w:tc>
        <w:tc>
          <w:tcPr>
            <w:tcW w:w="1275" w:type="dxa"/>
            <w:vAlign w:val="center"/>
          </w:tcPr>
          <w:p w:rsidR="00551053" w:rsidRPr="00905E1C" w:rsidRDefault="00551053" w:rsidP="00822C9B">
            <w:pPr>
              <w:jc w:val="center"/>
              <w:rPr>
                <w:sz w:val="18"/>
                <w:szCs w:val="18"/>
              </w:rPr>
            </w:pPr>
          </w:p>
        </w:tc>
        <w:tc>
          <w:tcPr>
            <w:tcW w:w="993" w:type="dxa"/>
            <w:vAlign w:val="center"/>
          </w:tcPr>
          <w:p w:rsidR="00551053" w:rsidRPr="00905E1C" w:rsidRDefault="00551053" w:rsidP="00822C9B">
            <w:pPr>
              <w:jc w:val="center"/>
              <w:rPr>
                <w:sz w:val="18"/>
                <w:szCs w:val="18"/>
              </w:rPr>
            </w:pPr>
          </w:p>
        </w:tc>
        <w:tc>
          <w:tcPr>
            <w:tcW w:w="850" w:type="dxa"/>
            <w:vAlign w:val="center"/>
          </w:tcPr>
          <w:p w:rsidR="00551053" w:rsidRPr="00905E1C" w:rsidRDefault="00551053" w:rsidP="00822C9B">
            <w:pPr>
              <w:jc w:val="center"/>
              <w:rPr>
                <w:sz w:val="18"/>
                <w:szCs w:val="18"/>
              </w:rPr>
            </w:pPr>
          </w:p>
        </w:tc>
        <w:tc>
          <w:tcPr>
            <w:tcW w:w="567" w:type="dxa"/>
            <w:vAlign w:val="center"/>
          </w:tcPr>
          <w:p w:rsidR="00551053" w:rsidRPr="00905E1C" w:rsidRDefault="00551053" w:rsidP="00822C9B">
            <w:pPr>
              <w:jc w:val="center"/>
              <w:rPr>
                <w:sz w:val="18"/>
                <w:szCs w:val="18"/>
              </w:rPr>
            </w:pPr>
          </w:p>
        </w:tc>
      </w:tr>
      <w:tr w:rsidR="00A96B46" w:rsidRPr="00905E1C" w:rsidTr="00A96B46">
        <w:trPr>
          <w:trHeight w:val="20"/>
        </w:trPr>
        <w:tc>
          <w:tcPr>
            <w:tcW w:w="1809" w:type="dxa"/>
            <w:vAlign w:val="center"/>
          </w:tcPr>
          <w:p w:rsidR="00551053" w:rsidRPr="00A96B46" w:rsidRDefault="00551053" w:rsidP="00822C9B">
            <w:pPr>
              <w:rPr>
                <w:b/>
                <w:sz w:val="18"/>
                <w:szCs w:val="18"/>
              </w:rPr>
            </w:pPr>
            <w:r w:rsidRPr="00A96B46">
              <w:rPr>
                <w:b/>
                <w:sz w:val="18"/>
                <w:szCs w:val="18"/>
              </w:rPr>
              <w:t>Algılanan Kalite</w:t>
            </w:r>
          </w:p>
        </w:tc>
        <w:tc>
          <w:tcPr>
            <w:tcW w:w="993" w:type="dxa"/>
            <w:vAlign w:val="center"/>
          </w:tcPr>
          <w:p w:rsidR="00551053" w:rsidRPr="00905E1C" w:rsidRDefault="001315A5" w:rsidP="00822C9B">
            <w:pPr>
              <w:jc w:val="center"/>
              <w:rPr>
                <w:sz w:val="18"/>
                <w:szCs w:val="18"/>
              </w:rPr>
            </w:pPr>
            <w:r w:rsidRPr="00905E1C">
              <w:rPr>
                <w:sz w:val="18"/>
                <w:szCs w:val="18"/>
              </w:rPr>
              <w:t>2.59</w:t>
            </w:r>
          </w:p>
        </w:tc>
        <w:tc>
          <w:tcPr>
            <w:tcW w:w="567" w:type="dxa"/>
            <w:vAlign w:val="center"/>
          </w:tcPr>
          <w:p w:rsidR="00551053" w:rsidRPr="00905E1C" w:rsidRDefault="001315A5" w:rsidP="00822C9B">
            <w:pPr>
              <w:jc w:val="center"/>
              <w:rPr>
                <w:sz w:val="18"/>
                <w:szCs w:val="18"/>
              </w:rPr>
            </w:pPr>
            <w:r w:rsidRPr="00905E1C">
              <w:rPr>
                <w:sz w:val="18"/>
                <w:szCs w:val="18"/>
              </w:rPr>
              <w:t>1.49</w:t>
            </w:r>
          </w:p>
        </w:tc>
        <w:tc>
          <w:tcPr>
            <w:tcW w:w="1275" w:type="dxa"/>
            <w:vAlign w:val="center"/>
          </w:tcPr>
          <w:p w:rsidR="00551053" w:rsidRPr="00905E1C" w:rsidRDefault="0019071D" w:rsidP="00822C9B">
            <w:pPr>
              <w:jc w:val="center"/>
              <w:rPr>
                <w:sz w:val="18"/>
                <w:szCs w:val="18"/>
              </w:rPr>
            </w:pPr>
            <w:r w:rsidRPr="00905E1C">
              <w:rPr>
                <w:sz w:val="18"/>
                <w:szCs w:val="18"/>
              </w:rPr>
              <w:t>.77</w:t>
            </w:r>
            <w:r w:rsidR="003001CB" w:rsidRPr="003001CB">
              <w:rPr>
                <w:sz w:val="18"/>
                <w:szCs w:val="18"/>
                <w:vertAlign w:val="superscript"/>
              </w:rPr>
              <w:t>**</w:t>
            </w:r>
          </w:p>
        </w:tc>
        <w:tc>
          <w:tcPr>
            <w:tcW w:w="993" w:type="dxa"/>
            <w:vAlign w:val="center"/>
          </w:tcPr>
          <w:p w:rsidR="00551053" w:rsidRPr="00905E1C" w:rsidRDefault="0019071D" w:rsidP="00822C9B">
            <w:pPr>
              <w:jc w:val="center"/>
              <w:rPr>
                <w:sz w:val="18"/>
                <w:szCs w:val="18"/>
              </w:rPr>
            </w:pPr>
            <w:r w:rsidRPr="00905E1C">
              <w:rPr>
                <w:sz w:val="18"/>
                <w:szCs w:val="18"/>
              </w:rPr>
              <w:t>(</w:t>
            </w:r>
            <w:r w:rsidR="00551053" w:rsidRPr="00905E1C">
              <w:rPr>
                <w:sz w:val="18"/>
                <w:szCs w:val="18"/>
              </w:rPr>
              <w:t>.94</w:t>
            </w:r>
            <w:r w:rsidRPr="00905E1C">
              <w:rPr>
                <w:sz w:val="18"/>
                <w:szCs w:val="18"/>
              </w:rPr>
              <w:t>)</w:t>
            </w:r>
          </w:p>
        </w:tc>
        <w:tc>
          <w:tcPr>
            <w:tcW w:w="1275" w:type="dxa"/>
            <w:vAlign w:val="center"/>
          </w:tcPr>
          <w:p w:rsidR="00551053" w:rsidRPr="00905E1C" w:rsidRDefault="00551053" w:rsidP="00822C9B">
            <w:pPr>
              <w:jc w:val="center"/>
              <w:rPr>
                <w:sz w:val="18"/>
                <w:szCs w:val="18"/>
              </w:rPr>
            </w:pPr>
          </w:p>
        </w:tc>
        <w:tc>
          <w:tcPr>
            <w:tcW w:w="993" w:type="dxa"/>
            <w:vAlign w:val="center"/>
          </w:tcPr>
          <w:p w:rsidR="00551053" w:rsidRPr="00905E1C" w:rsidRDefault="00551053" w:rsidP="00822C9B">
            <w:pPr>
              <w:jc w:val="center"/>
              <w:rPr>
                <w:sz w:val="18"/>
                <w:szCs w:val="18"/>
              </w:rPr>
            </w:pPr>
          </w:p>
        </w:tc>
        <w:tc>
          <w:tcPr>
            <w:tcW w:w="850" w:type="dxa"/>
            <w:vAlign w:val="center"/>
          </w:tcPr>
          <w:p w:rsidR="00551053" w:rsidRPr="00905E1C" w:rsidRDefault="00551053" w:rsidP="00822C9B">
            <w:pPr>
              <w:jc w:val="center"/>
              <w:rPr>
                <w:sz w:val="18"/>
                <w:szCs w:val="18"/>
              </w:rPr>
            </w:pPr>
          </w:p>
        </w:tc>
        <w:tc>
          <w:tcPr>
            <w:tcW w:w="567" w:type="dxa"/>
            <w:vAlign w:val="center"/>
          </w:tcPr>
          <w:p w:rsidR="00551053" w:rsidRPr="00905E1C" w:rsidRDefault="00551053" w:rsidP="00822C9B">
            <w:pPr>
              <w:jc w:val="center"/>
              <w:rPr>
                <w:sz w:val="18"/>
                <w:szCs w:val="18"/>
              </w:rPr>
            </w:pPr>
          </w:p>
        </w:tc>
      </w:tr>
      <w:tr w:rsidR="00A96B46" w:rsidRPr="00905E1C" w:rsidTr="00A96B46">
        <w:trPr>
          <w:trHeight w:val="20"/>
        </w:trPr>
        <w:tc>
          <w:tcPr>
            <w:tcW w:w="1809" w:type="dxa"/>
            <w:vAlign w:val="center"/>
          </w:tcPr>
          <w:p w:rsidR="00551053" w:rsidRPr="00A96B46" w:rsidRDefault="00551053" w:rsidP="00822C9B">
            <w:pPr>
              <w:rPr>
                <w:b/>
                <w:sz w:val="18"/>
                <w:szCs w:val="18"/>
              </w:rPr>
            </w:pPr>
            <w:r w:rsidRPr="00A96B46">
              <w:rPr>
                <w:b/>
                <w:sz w:val="18"/>
                <w:szCs w:val="18"/>
              </w:rPr>
              <w:t>Marka Çağrışımları</w:t>
            </w:r>
          </w:p>
        </w:tc>
        <w:tc>
          <w:tcPr>
            <w:tcW w:w="993" w:type="dxa"/>
            <w:vAlign w:val="center"/>
          </w:tcPr>
          <w:p w:rsidR="00551053" w:rsidRPr="00905E1C" w:rsidRDefault="001315A5" w:rsidP="00822C9B">
            <w:pPr>
              <w:jc w:val="center"/>
              <w:rPr>
                <w:sz w:val="18"/>
                <w:szCs w:val="18"/>
              </w:rPr>
            </w:pPr>
            <w:r w:rsidRPr="00905E1C">
              <w:rPr>
                <w:sz w:val="18"/>
                <w:szCs w:val="18"/>
              </w:rPr>
              <w:t>2.83</w:t>
            </w:r>
          </w:p>
        </w:tc>
        <w:tc>
          <w:tcPr>
            <w:tcW w:w="567" w:type="dxa"/>
            <w:vAlign w:val="center"/>
          </w:tcPr>
          <w:p w:rsidR="00551053" w:rsidRPr="00905E1C" w:rsidRDefault="001315A5" w:rsidP="00822C9B">
            <w:pPr>
              <w:jc w:val="center"/>
              <w:rPr>
                <w:sz w:val="18"/>
                <w:szCs w:val="18"/>
              </w:rPr>
            </w:pPr>
            <w:r w:rsidRPr="00905E1C">
              <w:rPr>
                <w:sz w:val="18"/>
                <w:szCs w:val="18"/>
              </w:rPr>
              <w:t>1.28</w:t>
            </w:r>
          </w:p>
        </w:tc>
        <w:tc>
          <w:tcPr>
            <w:tcW w:w="1275" w:type="dxa"/>
            <w:vAlign w:val="center"/>
          </w:tcPr>
          <w:p w:rsidR="00551053" w:rsidRPr="00905E1C" w:rsidRDefault="0019071D" w:rsidP="00822C9B">
            <w:pPr>
              <w:jc w:val="center"/>
              <w:rPr>
                <w:sz w:val="18"/>
                <w:szCs w:val="18"/>
              </w:rPr>
            </w:pPr>
            <w:r w:rsidRPr="00905E1C">
              <w:rPr>
                <w:sz w:val="18"/>
                <w:szCs w:val="18"/>
              </w:rPr>
              <w:t>.76</w:t>
            </w:r>
            <w:r w:rsidR="003001CB" w:rsidRPr="003001CB">
              <w:rPr>
                <w:sz w:val="18"/>
                <w:szCs w:val="18"/>
                <w:vertAlign w:val="superscript"/>
              </w:rPr>
              <w:t>**</w:t>
            </w:r>
          </w:p>
        </w:tc>
        <w:tc>
          <w:tcPr>
            <w:tcW w:w="993" w:type="dxa"/>
            <w:vAlign w:val="center"/>
          </w:tcPr>
          <w:p w:rsidR="00551053" w:rsidRPr="00905E1C" w:rsidRDefault="00883714" w:rsidP="00822C9B">
            <w:pPr>
              <w:jc w:val="center"/>
              <w:rPr>
                <w:sz w:val="18"/>
                <w:szCs w:val="18"/>
              </w:rPr>
            </w:pPr>
            <w:r w:rsidRPr="00905E1C">
              <w:rPr>
                <w:sz w:val="18"/>
                <w:szCs w:val="18"/>
              </w:rPr>
              <w:t>.83</w:t>
            </w:r>
            <w:r w:rsidR="003001CB" w:rsidRPr="003001CB">
              <w:rPr>
                <w:sz w:val="18"/>
                <w:szCs w:val="18"/>
                <w:vertAlign w:val="superscript"/>
              </w:rPr>
              <w:t>**</w:t>
            </w:r>
          </w:p>
        </w:tc>
        <w:tc>
          <w:tcPr>
            <w:tcW w:w="1275" w:type="dxa"/>
            <w:vAlign w:val="center"/>
          </w:tcPr>
          <w:p w:rsidR="00551053" w:rsidRPr="00905E1C" w:rsidRDefault="0019071D" w:rsidP="00822C9B">
            <w:pPr>
              <w:jc w:val="center"/>
              <w:rPr>
                <w:sz w:val="18"/>
                <w:szCs w:val="18"/>
              </w:rPr>
            </w:pPr>
            <w:r w:rsidRPr="00905E1C">
              <w:rPr>
                <w:sz w:val="18"/>
                <w:szCs w:val="18"/>
              </w:rPr>
              <w:t>(</w:t>
            </w:r>
            <w:r w:rsidR="00551053" w:rsidRPr="00905E1C">
              <w:rPr>
                <w:sz w:val="18"/>
                <w:szCs w:val="18"/>
              </w:rPr>
              <w:t>.86</w:t>
            </w:r>
            <w:r w:rsidRPr="00905E1C">
              <w:rPr>
                <w:sz w:val="18"/>
                <w:szCs w:val="18"/>
              </w:rPr>
              <w:t>)</w:t>
            </w:r>
          </w:p>
        </w:tc>
        <w:tc>
          <w:tcPr>
            <w:tcW w:w="993" w:type="dxa"/>
            <w:vAlign w:val="center"/>
          </w:tcPr>
          <w:p w:rsidR="00551053" w:rsidRPr="00905E1C" w:rsidRDefault="00551053" w:rsidP="00822C9B">
            <w:pPr>
              <w:jc w:val="center"/>
              <w:rPr>
                <w:sz w:val="18"/>
                <w:szCs w:val="18"/>
              </w:rPr>
            </w:pPr>
          </w:p>
        </w:tc>
        <w:tc>
          <w:tcPr>
            <w:tcW w:w="850" w:type="dxa"/>
            <w:vAlign w:val="center"/>
          </w:tcPr>
          <w:p w:rsidR="00551053" w:rsidRPr="00905E1C" w:rsidRDefault="00551053" w:rsidP="00822C9B">
            <w:pPr>
              <w:jc w:val="center"/>
              <w:rPr>
                <w:sz w:val="18"/>
                <w:szCs w:val="18"/>
              </w:rPr>
            </w:pPr>
          </w:p>
        </w:tc>
        <w:tc>
          <w:tcPr>
            <w:tcW w:w="567" w:type="dxa"/>
            <w:vAlign w:val="center"/>
          </w:tcPr>
          <w:p w:rsidR="00551053" w:rsidRPr="00905E1C" w:rsidRDefault="00551053" w:rsidP="00822C9B">
            <w:pPr>
              <w:jc w:val="center"/>
              <w:rPr>
                <w:sz w:val="18"/>
                <w:szCs w:val="18"/>
              </w:rPr>
            </w:pPr>
          </w:p>
        </w:tc>
      </w:tr>
      <w:tr w:rsidR="00A96B46" w:rsidRPr="00905E1C" w:rsidTr="00A96B46">
        <w:trPr>
          <w:trHeight w:val="20"/>
        </w:trPr>
        <w:tc>
          <w:tcPr>
            <w:tcW w:w="1809" w:type="dxa"/>
            <w:vAlign w:val="center"/>
          </w:tcPr>
          <w:p w:rsidR="00551053" w:rsidRPr="00A96B46" w:rsidRDefault="00551053" w:rsidP="00822C9B">
            <w:pPr>
              <w:rPr>
                <w:b/>
                <w:sz w:val="18"/>
                <w:szCs w:val="18"/>
              </w:rPr>
            </w:pPr>
            <w:r w:rsidRPr="00A96B46">
              <w:rPr>
                <w:b/>
                <w:sz w:val="18"/>
                <w:szCs w:val="18"/>
              </w:rPr>
              <w:t>Marka Sadakati</w:t>
            </w:r>
          </w:p>
        </w:tc>
        <w:tc>
          <w:tcPr>
            <w:tcW w:w="993" w:type="dxa"/>
            <w:vAlign w:val="center"/>
          </w:tcPr>
          <w:p w:rsidR="00551053" w:rsidRPr="00905E1C" w:rsidRDefault="001315A5" w:rsidP="00822C9B">
            <w:pPr>
              <w:jc w:val="center"/>
              <w:rPr>
                <w:sz w:val="18"/>
                <w:szCs w:val="18"/>
              </w:rPr>
            </w:pPr>
            <w:r w:rsidRPr="00905E1C">
              <w:rPr>
                <w:sz w:val="18"/>
                <w:szCs w:val="18"/>
              </w:rPr>
              <w:t>3.48</w:t>
            </w:r>
          </w:p>
        </w:tc>
        <w:tc>
          <w:tcPr>
            <w:tcW w:w="567" w:type="dxa"/>
            <w:vAlign w:val="center"/>
          </w:tcPr>
          <w:p w:rsidR="00551053" w:rsidRPr="00905E1C" w:rsidRDefault="001315A5" w:rsidP="00822C9B">
            <w:pPr>
              <w:jc w:val="center"/>
              <w:rPr>
                <w:sz w:val="18"/>
                <w:szCs w:val="18"/>
              </w:rPr>
            </w:pPr>
            <w:r w:rsidRPr="00905E1C">
              <w:rPr>
                <w:sz w:val="18"/>
                <w:szCs w:val="18"/>
              </w:rPr>
              <w:t>1.55</w:t>
            </w:r>
          </w:p>
        </w:tc>
        <w:tc>
          <w:tcPr>
            <w:tcW w:w="1275" w:type="dxa"/>
            <w:vAlign w:val="center"/>
          </w:tcPr>
          <w:p w:rsidR="00551053" w:rsidRPr="00905E1C" w:rsidRDefault="0019071D" w:rsidP="00822C9B">
            <w:pPr>
              <w:jc w:val="center"/>
              <w:rPr>
                <w:sz w:val="18"/>
                <w:szCs w:val="18"/>
              </w:rPr>
            </w:pPr>
            <w:r w:rsidRPr="00905E1C">
              <w:rPr>
                <w:sz w:val="18"/>
                <w:szCs w:val="18"/>
              </w:rPr>
              <w:t>.50</w:t>
            </w:r>
            <w:r w:rsidR="003001CB" w:rsidRPr="003001CB">
              <w:rPr>
                <w:sz w:val="18"/>
                <w:szCs w:val="18"/>
                <w:vertAlign w:val="superscript"/>
              </w:rPr>
              <w:t>**</w:t>
            </w:r>
          </w:p>
        </w:tc>
        <w:tc>
          <w:tcPr>
            <w:tcW w:w="993" w:type="dxa"/>
            <w:vAlign w:val="center"/>
          </w:tcPr>
          <w:p w:rsidR="00551053" w:rsidRPr="00905E1C" w:rsidRDefault="00883714" w:rsidP="00822C9B">
            <w:pPr>
              <w:jc w:val="center"/>
              <w:rPr>
                <w:sz w:val="18"/>
                <w:szCs w:val="18"/>
              </w:rPr>
            </w:pPr>
            <w:r w:rsidRPr="00905E1C">
              <w:rPr>
                <w:sz w:val="18"/>
                <w:szCs w:val="18"/>
              </w:rPr>
              <w:t>.51</w:t>
            </w:r>
            <w:r w:rsidR="003001CB" w:rsidRPr="003001CB">
              <w:rPr>
                <w:sz w:val="18"/>
                <w:szCs w:val="18"/>
                <w:vertAlign w:val="superscript"/>
              </w:rPr>
              <w:t>**</w:t>
            </w:r>
          </w:p>
        </w:tc>
        <w:tc>
          <w:tcPr>
            <w:tcW w:w="1275" w:type="dxa"/>
            <w:vAlign w:val="center"/>
          </w:tcPr>
          <w:p w:rsidR="00551053" w:rsidRPr="00905E1C" w:rsidRDefault="00883714" w:rsidP="00822C9B">
            <w:pPr>
              <w:jc w:val="center"/>
              <w:rPr>
                <w:sz w:val="18"/>
                <w:szCs w:val="18"/>
              </w:rPr>
            </w:pPr>
            <w:r w:rsidRPr="00905E1C">
              <w:rPr>
                <w:sz w:val="18"/>
                <w:szCs w:val="18"/>
              </w:rPr>
              <w:t>.55</w:t>
            </w:r>
            <w:r w:rsidR="003001CB" w:rsidRPr="003001CB">
              <w:rPr>
                <w:sz w:val="18"/>
                <w:szCs w:val="18"/>
                <w:vertAlign w:val="superscript"/>
              </w:rPr>
              <w:t>**</w:t>
            </w:r>
          </w:p>
        </w:tc>
        <w:tc>
          <w:tcPr>
            <w:tcW w:w="993" w:type="dxa"/>
            <w:vAlign w:val="center"/>
          </w:tcPr>
          <w:p w:rsidR="00551053" w:rsidRPr="00905E1C" w:rsidRDefault="0019071D" w:rsidP="00822C9B">
            <w:pPr>
              <w:jc w:val="center"/>
              <w:rPr>
                <w:sz w:val="18"/>
                <w:szCs w:val="18"/>
              </w:rPr>
            </w:pPr>
            <w:r w:rsidRPr="00905E1C">
              <w:rPr>
                <w:sz w:val="18"/>
                <w:szCs w:val="18"/>
              </w:rPr>
              <w:t>(</w:t>
            </w:r>
            <w:r w:rsidR="00551053" w:rsidRPr="00905E1C">
              <w:rPr>
                <w:sz w:val="18"/>
                <w:szCs w:val="18"/>
              </w:rPr>
              <w:t>.74</w:t>
            </w:r>
            <w:r w:rsidRPr="00905E1C">
              <w:rPr>
                <w:sz w:val="18"/>
                <w:szCs w:val="18"/>
              </w:rPr>
              <w:t>)</w:t>
            </w:r>
          </w:p>
        </w:tc>
        <w:tc>
          <w:tcPr>
            <w:tcW w:w="850" w:type="dxa"/>
            <w:vAlign w:val="center"/>
          </w:tcPr>
          <w:p w:rsidR="00551053" w:rsidRPr="00905E1C" w:rsidRDefault="00551053" w:rsidP="00822C9B">
            <w:pPr>
              <w:jc w:val="center"/>
              <w:rPr>
                <w:sz w:val="18"/>
                <w:szCs w:val="18"/>
              </w:rPr>
            </w:pPr>
          </w:p>
        </w:tc>
        <w:tc>
          <w:tcPr>
            <w:tcW w:w="567" w:type="dxa"/>
            <w:vAlign w:val="center"/>
          </w:tcPr>
          <w:p w:rsidR="00551053" w:rsidRPr="00905E1C" w:rsidRDefault="00551053" w:rsidP="00822C9B">
            <w:pPr>
              <w:jc w:val="center"/>
              <w:rPr>
                <w:sz w:val="18"/>
                <w:szCs w:val="18"/>
              </w:rPr>
            </w:pPr>
          </w:p>
        </w:tc>
      </w:tr>
      <w:tr w:rsidR="00A96B46" w:rsidRPr="00905E1C" w:rsidTr="00A96B46">
        <w:trPr>
          <w:trHeight w:val="20"/>
        </w:trPr>
        <w:tc>
          <w:tcPr>
            <w:tcW w:w="1809" w:type="dxa"/>
            <w:vAlign w:val="center"/>
          </w:tcPr>
          <w:p w:rsidR="00551053" w:rsidRPr="00A96B46" w:rsidRDefault="00551053" w:rsidP="00822C9B">
            <w:pPr>
              <w:rPr>
                <w:b/>
                <w:sz w:val="18"/>
                <w:szCs w:val="18"/>
              </w:rPr>
            </w:pPr>
            <w:r w:rsidRPr="00A96B46">
              <w:rPr>
                <w:b/>
                <w:sz w:val="18"/>
                <w:szCs w:val="18"/>
              </w:rPr>
              <w:t>Marka Tercihi</w:t>
            </w:r>
          </w:p>
        </w:tc>
        <w:tc>
          <w:tcPr>
            <w:tcW w:w="993" w:type="dxa"/>
            <w:vAlign w:val="center"/>
          </w:tcPr>
          <w:p w:rsidR="00551053" w:rsidRPr="00905E1C" w:rsidRDefault="001315A5" w:rsidP="00822C9B">
            <w:pPr>
              <w:jc w:val="center"/>
              <w:rPr>
                <w:sz w:val="18"/>
                <w:szCs w:val="18"/>
              </w:rPr>
            </w:pPr>
            <w:r w:rsidRPr="00905E1C">
              <w:rPr>
                <w:sz w:val="18"/>
                <w:szCs w:val="18"/>
              </w:rPr>
              <w:t>3.25</w:t>
            </w:r>
          </w:p>
        </w:tc>
        <w:tc>
          <w:tcPr>
            <w:tcW w:w="567" w:type="dxa"/>
            <w:vAlign w:val="center"/>
          </w:tcPr>
          <w:p w:rsidR="00551053" w:rsidRPr="00905E1C" w:rsidRDefault="001315A5" w:rsidP="00822C9B">
            <w:pPr>
              <w:jc w:val="center"/>
              <w:rPr>
                <w:sz w:val="18"/>
                <w:szCs w:val="18"/>
              </w:rPr>
            </w:pPr>
            <w:r w:rsidRPr="00905E1C">
              <w:rPr>
                <w:sz w:val="18"/>
                <w:szCs w:val="18"/>
              </w:rPr>
              <w:t>1.43</w:t>
            </w:r>
          </w:p>
        </w:tc>
        <w:tc>
          <w:tcPr>
            <w:tcW w:w="1275" w:type="dxa"/>
            <w:vAlign w:val="center"/>
          </w:tcPr>
          <w:p w:rsidR="00551053" w:rsidRPr="00905E1C" w:rsidRDefault="0019071D" w:rsidP="00822C9B">
            <w:pPr>
              <w:jc w:val="center"/>
              <w:rPr>
                <w:sz w:val="18"/>
                <w:szCs w:val="18"/>
              </w:rPr>
            </w:pPr>
            <w:r w:rsidRPr="00905E1C">
              <w:rPr>
                <w:sz w:val="18"/>
                <w:szCs w:val="18"/>
              </w:rPr>
              <w:t>.57</w:t>
            </w:r>
            <w:r w:rsidR="003001CB" w:rsidRPr="003001CB">
              <w:rPr>
                <w:sz w:val="18"/>
                <w:szCs w:val="18"/>
                <w:vertAlign w:val="superscript"/>
              </w:rPr>
              <w:t>**</w:t>
            </w:r>
          </w:p>
        </w:tc>
        <w:tc>
          <w:tcPr>
            <w:tcW w:w="993" w:type="dxa"/>
            <w:vAlign w:val="center"/>
          </w:tcPr>
          <w:p w:rsidR="00551053" w:rsidRPr="00905E1C" w:rsidRDefault="00883714" w:rsidP="00822C9B">
            <w:pPr>
              <w:jc w:val="center"/>
              <w:rPr>
                <w:sz w:val="18"/>
                <w:szCs w:val="18"/>
              </w:rPr>
            </w:pPr>
            <w:r w:rsidRPr="00905E1C">
              <w:rPr>
                <w:sz w:val="18"/>
                <w:szCs w:val="18"/>
              </w:rPr>
              <w:t>.64</w:t>
            </w:r>
            <w:r w:rsidR="003001CB" w:rsidRPr="003001CB">
              <w:rPr>
                <w:sz w:val="18"/>
                <w:szCs w:val="18"/>
                <w:vertAlign w:val="superscript"/>
              </w:rPr>
              <w:t>**</w:t>
            </w:r>
          </w:p>
        </w:tc>
        <w:tc>
          <w:tcPr>
            <w:tcW w:w="1275" w:type="dxa"/>
            <w:vAlign w:val="center"/>
          </w:tcPr>
          <w:p w:rsidR="00551053" w:rsidRPr="00905E1C" w:rsidRDefault="00883714" w:rsidP="00822C9B">
            <w:pPr>
              <w:jc w:val="center"/>
              <w:rPr>
                <w:sz w:val="18"/>
                <w:szCs w:val="18"/>
              </w:rPr>
            </w:pPr>
            <w:r w:rsidRPr="00905E1C">
              <w:rPr>
                <w:sz w:val="18"/>
                <w:szCs w:val="18"/>
              </w:rPr>
              <w:t>.59</w:t>
            </w:r>
            <w:r w:rsidR="003001CB" w:rsidRPr="003001CB">
              <w:rPr>
                <w:sz w:val="18"/>
                <w:szCs w:val="18"/>
                <w:vertAlign w:val="superscript"/>
              </w:rPr>
              <w:t>**</w:t>
            </w:r>
          </w:p>
        </w:tc>
        <w:tc>
          <w:tcPr>
            <w:tcW w:w="993" w:type="dxa"/>
            <w:vAlign w:val="center"/>
          </w:tcPr>
          <w:p w:rsidR="00551053" w:rsidRPr="00905E1C" w:rsidRDefault="00883714" w:rsidP="00822C9B">
            <w:pPr>
              <w:jc w:val="center"/>
              <w:rPr>
                <w:sz w:val="18"/>
                <w:szCs w:val="18"/>
              </w:rPr>
            </w:pPr>
            <w:r w:rsidRPr="00905E1C">
              <w:rPr>
                <w:sz w:val="18"/>
                <w:szCs w:val="18"/>
              </w:rPr>
              <w:t>.64</w:t>
            </w:r>
            <w:r w:rsidR="003001CB" w:rsidRPr="003001CB">
              <w:rPr>
                <w:sz w:val="18"/>
                <w:szCs w:val="18"/>
                <w:vertAlign w:val="superscript"/>
              </w:rPr>
              <w:t>**</w:t>
            </w:r>
          </w:p>
        </w:tc>
        <w:tc>
          <w:tcPr>
            <w:tcW w:w="850" w:type="dxa"/>
            <w:vAlign w:val="center"/>
          </w:tcPr>
          <w:p w:rsidR="00551053" w:rsidRPr="00905E1C" w:rsidRDefault="0019071D" w:rsidP="00822C9B">
            <w:pPr>
              <w:jc w:val="center"/>
              <w:rPr>
                <w:sz w:val="18"/>
                <w:szCs w:val="18"/>
              </w:rPr>
            </w:pPr>
            <w:r w:rsidRPr="00905E1C">
              <w:rPr>
                <w:sz w:val="18"/>
                <w:szCs w:val="18"/>
              </w:rPr>
              <w:t>(</w:t>
            </w:r>
            <w:r w:rsidR="00551053" w:rsidRPr="00905E1C">
              <w:rPr>
                <w:sz w:val="18"/>
                <w:szCs w:val="18"/>
              </w:rPr>
              <w:t>.68</w:t>
            </w:r>
            <w:r w:rsidRPr="00905E1C">
              <w:rPr>
                <w:sz w:val="18"/>
                <w:szCs w:val="18"/>
              </w:rPr>
              <w:t>)</w:t>
            </w:r>
          </w:p>
        </w:tc>
        <w:tc>
          <w:tcPr>
            <w:tcW w:w="567" w:type="dxa"/>
            <w:vAlign w:val="center"/>
          </w:tcPr>
          <w:p w:rsidR="00551053" w:rsidRPr="00905E1C" w:rsidRDefault="00551053" w:rsidP="00822C9B">
            <w:pPr>
              <w:jc w:val="center"/>
              <w:rPr>
                <w:sz w:val="18"/>
                <w:szCs w:val="18"/>
              </w:rPr>
            </w:pPr>
          </w:p>
        </w:tc>
      </w:tr>
      <w:tr w:rsidR="00A96B46" w:rsidRPr="00905E1C" w:rsidTr="00A96B46">
        <w:trPr>
          <w:trHeight w:val="20"/>
        </w:trPr>
        <w:tc>
          <w:tcPr>
            <w:tcW w:w="1809" w:type="dxa"/>
            <w:vAlign w:val="center"/>
          </w:tcPr>
          <w:p w:rsidR="00551053" w:rsidRPr="00A96B46" w:rsidRDefault="00551053" w:rsidP="00822C9B">
            <w:pPr>
              <w:rPr>
                <w:b/>
                <w:sz w:val="18"/>
                <w:szCs w:val="18"/>
              </w:rPr>
            </w:pPr>
            <w:r w:rsidRPr="00A96B46">
              <w:rPr>
                <w:b/>
                <w:sz w:val="18"/>
                <w:szCs w:val="18"/>
              </w:rPr>
              <w:t>Aile</w:t>
            </w:r>
          </w:p>
        </w:tc>
        <w:tc>
          <w:tcPr>
            <w:tcW w:w="993" w:type="dxa"/>
            <w:vAlign w:val="center"/>
          </w:tcPr>
          <w:p w:rsidR="00551053" w:rsidRPr="00905E1C" w:rsidRDefault="001315A5" w:rsidP="00822C9B">
            <w:pPr>
              <w:jc w:val="center"/>
              <w:rPr>
                <w:sz w:val="18"/>
                <w:szCs w:val="18"/>
              </w:rPr>
            </w:pPr>
            <w:r w:rsidRPr="00905E1C">
              <w:rPr>
                <w:sz w:val="18"/>
                <w:szCs w:val="18"/>
              </w:rPr>
              <w:t>3.60</w:t>
            </w:r>
          </w:p>
        </w:tc>
        <w:tc>
          <w:tcPr>
            <w:tcW w:w="567" w:type="dxa"/>
            <w:vAlign w:val="center"/>
          </w:tcPr>
          <w:p w:rsidR="00551053" w:rsidRPr="00905E1C" w:rsidRDefault="001315A5" w:rsidP="00822C9B">
            <w:pPr>
              <w:jc w:val="center"/>
              <w:rPr>
                <w:sz w:val="18"/>
                <w:szCs w:val="18"/>
              </w:rPr>
            </w:pPr>
            <w:r w:rsidRPr="00905E1C">
              <w:rPr>
                <w:sz w:val="18"/>
                <w:szCs w:val="18"/>
              </w:rPr>
              <w:t>1.71</w:t>
            </w:r>
          </w:p>
        </w:tc>
        <w:tc>
          <w:tcPr>
            <w:tcW w:w="1275" w:type="dxa"/>
            <w:vAlign w:val="center"/>
          </w:tcPr>
          <w:p w:rsidR="00551053" w:rsidRPr="00905E1C" w:rsidRDefault="0019071D" w:rsidP="00822C9B">
            <w:pPr>
              <w:jc w:val="center"/>
              <w:rPr>
                <w:sz w:val="18"/>
                <w:szCs w:val="18"/>
              </w:rPr>
            </w:pPr>
            <w:r w:rsidRPr="00905E1C">
              <w:rPr>
                <w:sz w:val="18"/>
                <w:szCs w:val="18"/>
              </w:rPr>
              <w:t>.32</w:t>
            </w:r>
            <w:r w:rsidR="003001CB" w:rsidRPr="003001CB">
              <w:rPr>
                <w:sz w:val="18"/>
                <w:szCs w:val="18"/>
                <w:vertAlign w:val="superscript"/>
              </w:rPr>
              <w:t>**</w:t>
            </w:r>
          </w:p>
        </w:tc>
        <w:tc>
          <w:tcPr>
            <w:tcW w:w="993" w:type="dxa"/>
            <w:vAlign w:val="center"/>
          </w:tcPr>
          <w:p w:rsidR="00551053" w:rsidRPr="00905E1C" w:rsidRDefault="00883714" w:rsidP="00822C9B">
            <w:pPr>
              <w:jc w:val="center"/>
              <w:rPr>
                <w:sz w:val="18"/>
                <w:szCs w:val="18"/>
              </w:rPr>
            </w:pPr>
            <w:r w:rsidRPr="00905E1C">
              <w:rPr>
                <w:sz w:val="18"/>
                <w:szCs w:val="18"/>
              </w:rPr>
              <w:t>.28</w:t>
            </w:r>
            <w:r w:rsidR="003001CB" w:rsidRPr="003001CB">
              <w:rPr>
                <w:sz w:val="18"/>
                <w:szCs w:val="18"/>
                <w:vertAlign w:val="superscript"/>
              </w:rPr>
              <w:t>**</w:t>
            </w:r>
          </w:p>
        </w:tc>
        <w:tc>
          <w:tcPr>
            <w:tcW w:w="1275" w:type="dxa"/>
            <w:vAlign w:val="center"/>
          </w:tcPr>
          <w:p w:rsidR="00551053" w:rsidRPr="00905E1C" w:rsidRDefault="00883714" w:rsidP="00822C9B">
            <w:pPr>
              <w:jc w:val="center"/>
              <w:rPr>
                <w:sz w:val="18"/>
                <w:szCs w:val="18"/>
              </w:rPr>
            </w:pPr>
            <w:r w:rsidRPr="00905E1C">
              <w:rPr>
                <w:sz w:val="18"/>
                <w:szCs w:val="18"/>
              </w:rPr>
              <w:t>.31</w:t>
            </w:r>
            <w:r w:rsidR="003001CB" w:rsidRPr="003001CB">
              <w:rPr>
                <w:sz w:val="18"/>
                <w:szCs w:val="18"/>
                <w:vertAlign w:val="superscript"/>
              </w:rPr>
              <w:t>**</w:t>
            </w:r>
          </w:p>
        </w:tc>
        <w:tc>
          <w:tcPr>
            <w:tcW w:w="993" w:type="dxa"/>
            <w:vAlign w:val="center"/>
          </w:tcPr>
          <w:p w:rsidR="00551053" w:rsidRPr="00905E1C" w:rsidRDefault="00883714" w:rsidP="00822C9B">
            <w:pPr>
              <w:jc w:val="center"/>
              <w:rPr>
                <w:sz w:val="18"/>
                <w:szCs w:val="18"/>
              </w:rPr>
            </w:pPr>
            <w:r w:rsidRPr="00905E1C">
              <w:rPr>
                <w:sz w:val="18"/>
                <w:szCs w:val="18"/>
              </w:rPr>
              <w:t>.46</w:t>
            </w:r>
            <w:r w:rsidR="003001CB" w:rsidRPr="003001CB">
              <w:rPr>
                <w:sz w:val="18"/>
                <w:szCs w:val="18"/>
                <w:vertAlign w:val="superscript"/>
              </w:rPr>
              <w:t>**</w:t>
            </w:r>
          </w:p>
        </w:tc>
        <w:tc>
          <w:tcPr>
            <w:tcW w:w="850" w:type="dxa"/>
            <w:vAlign w:val="center"/>
          </w:tcPr>
          <w:p w:rsidR="00551053" w:rsidRPr="00905E1C" w:rsidRDefault="00883714" w:rsidP="00822C9B">
            <w:pPr>
              <w:jc w:val="center"/>
              <w:rPr>
                <w:sz w:val="18"/>
                <w:szCs w:val="18"/>
              </w:rPr>
            </w:pPr>
            <w:r w:rsidRPr="00905E1C">
              <w:rPr>
                <w:sz w:val="18"/>
                <w:szCs w:val="18"/>
              </w:rPr>
              <w:t>.28</w:t>
            </w:r>
            <w:r w:rsidR="003001CB" w:rsidRPr="003001CB">
              <w:rPr>
                <w:sz w:val="18"/>
                <w:szCs w:val="18"/>
                <w:vertAlign w:val="superscript"/>
              </w:rPr>
              <w:t>**</w:t>
            </w:r>
          </w:p>
        </w:tc>
        <w:tc>
          <w:tcPr>
            <w:tcW w:w="567" w:type="dxa"/>
            <w:vAlign w:val="center"/>
          </w:tcPr>
          <w:p w:rsidR="00551053" w:rsidRPr="00905E1C" w:rsidRDefault="0019071D" w:rsidP="00822C9B">
            <w:pPr>
              <w:jc w:val="center"/>
              <w:rPr>
                <w:sz w:val="18"/>
                <w:szCs w:val="18"/>
              </w:rPr>
            </w:pPr>
            <w:r w:rsidRPr="00905E1C">
              <w:rPr>
                <w:sz w:val="18"/>
                <w:szCs w:val="18"/>
              </w:rPr>
              <w:t>(</w:t>
            </w:r>
            <w:r w:rsidR="00551053" w:rsidRPr="00905E1C">
              <w:rPr>
                <w:sz w:val="18"/>
                <w:szCs w:val="18"/>
              </w:rPr>
              <w:t>.87</w:t>
            </w:r>
            <w:r w:rsidRPr="00905E1C">
              <w:rPr>
                <w:sz w:val="18"/>
                <w:szCs w:val="18"/>
              </w:rPr>
              <w:t>)</w:t>
            </w:r>
          </w:p>
        </w:tc>
      </w:tr>
    </w:tbl>
    <w:p w:rsidR="00763AAB" w:rsidRDefault="00763AAB" w:rsidP="00763AAB">
      <w:pPr>
        <w:pStyle w:val="GvdeMetni"/>
        <w:spacing w:after="120"/>
        <w:rPr>
          <w:sz w:val="20"/>
        </w:rPr>
      </w:pPr>
      <w:r w:rsidRPr="00763AAB">
        <w:rPr>
          <w:sz w:val="20"/>
        </w:rPr>
        <w:t>** p&lt;0.01 N=(</w:t>
      </w:r>
      <w:r>
        <w:rPr>
          <w:sz w:val="20"/>
        </w:rPr>
        <w:t>29</w:t>
      </w:r>
      <w:r w:rsidRPr="00763AAB">
        <w:rPr>
          <w:sz w:val="20"/>
        </w:rPr>
        <w:t>5)</w:t>
      </w:r>
    </w:p>
    <w:p w:rsidR="001B5AC7" w:rsidRDefault="001B5AC7" w:rsidP="00763AAB">
      <w:pPr>
        <w:pStyle w:val="GvdeMetni"/>
        <w:spacing w:after="120"/>
        <w:rPr>
          <w:sz w:val="20"/>
        </w:rPr>
      </w:pPr>
      <w:r w:rsidRPr="001B5AC7">
        <w:rPr>
          <w:b/>
          <w:sz w:val="20"/>
        </w:rPr>
        <w:t>Not:</w:t>
      </w:r>
      <w:r>
        <w:rPr>
          <w:sz w:val="20"/>
        </w:rPr>
        <w:t xml:space="preserve"> Ölçeklerin Cronbach Alfa güvenlik değerleri parantez içinde gösterilmiştir.</w:t>
      </w:r>
    </w:p>
    <w:p w:rsidR="009835C7" w:rsidRPr="00763AAB" w:rsidRDefault="009835C7" w:rsidP="00763AAB">
      <w:pPr>
        <w:pStyle w:val="GvdeMetni"/>
        <w:spacing w:after="120"/>
        <w:rPr>
          <w:sz w:val="20"/>
        </w:rPr>
      </w:pPr>
    </w:p>
    <w:p w:rsidR="00883714" w:rsidRDefault="003E7BDB" w:rsidP="003E7BDB">
      <w:pPr>
        <w:spacing w:before="120" w:after="120"/>
        <w:jc w:val="center"/>
        <w:rPr>
          <w:sz w:val="20"/>
          <w:szCs w:val="20"/>
        </w:rPr>
      </w:pPr>
      <w:r w:rsidRPr="003E7BDB">
        <w:rPr>
          <w:b/>
          <w:sz w:val="20"/>
          <w:szCs w:val="20"/>
        </w:rPr>
        <w:t xml:space="preserve">Tablo </w:t>
      </w:r>
      <w:r w:rsidR="009835C7">
        <w:rPr>
          <w:b/>
          <w:sz w:val="20"/>
          <w:szCs w:val="20"/>
        </w:rPr>
        <w:t>2</w:t>
      </w:r>
      <w:r w:rsidRPr="003E7BDB">
        <w:rPr>
          <w:b/>
          <w:sz w:val="20"/>
          <w:szCs w:val="20"/>
        </w:rPr>
        <w:t>:</w:t>
      </w:r>
      <w:r>
        <w:rPr>
          <w:sz w:val="20"/>
          <w:szCs w:val="20"/>
        </w:rPr>
        <w:t xml:space="preserve"> </w:t>
      </w:r>
      <w:r w:rsidR="00AE1586">
        <w:rPr>
          <w:sz w:val="20"/>
          <w:szCs w:val="20"/>
        </w:rPr>
        <w:t xml:space="preserve">Marka Tercihini Etkileyen Değişkenlere Ait Hiyerarşik Regresyon Analizi </w:t>
      </w:r>
      <w:r>
        <w:rPr>
          <w:sz w:val="20"/>
          <w:szCs w:val="20"/>
        </w:rPr>
        <w:t>Tablosu</w:t>
      </w:r>
    </w:p>
    <w:tbl>
      <w:tblPr>
        <w:tblStyle w:val="TabloKlavuzu"/>
        <w:tblW w:w="0" w:type="auto"/>
        <w:tblInd w:w="2124" w:type="dxa"/>
        <w:tblLook w:val="04A0" w:firstRow="1" w:lastRow="0" w:firstColumn="1" w:lastColumn="0" w:noHBand="0" w:noVBand="1"/>
      </w:tblPr>
      <w:tblGrid>
        <w:gridCol w:w="2662"/>
        <w:gridCol w:w="1982"/>
      </w:tblGrid>
      <w:tr w:rsidR="009C5B18" w:rsidTr="00C67B4E">
        <w:trPr>
          <w:trHeight w:val="950"/>
        </w:trPr>
        <w:tc>
          <w:tcPr>
            <w:tcW w:w="2662" w:type="dxa"/>
            <w:vAlign w:val="center"/>
          </w:tcPr>
          <w:p w:rsidR="009C5B18" w:rsidRPr="00C67B4E" w:rsidRDefault="009C5B18" w:rsidP="00C67B4E">
            <w:pPr>
              <w:jc w:val="center"/>
              <w:rPr>
                <w:sz w:val="18"/>
                <w:szCs w:val="18"/>
              </w:rPr>
            </w:pPr>
            <w:r w:rsidRPr="00C67B4E">
              <w:rPr>
                <w:sz w:val="18"/>
                <w:szCs w:val="18"/>
              </w:rPr>
              <w:t>Marka Tercihi Bağımlı Değişken</w:t>
            </w:r>
          </w:p>
        </w:tc>
        <w:tc>
          <w:tcPr>
            <w:tcW w:w="1982" w:type="dxa"/>
            <w:vAlign w:val="center"/>
          </w:tcPr>
          <w:p w:rsidR="009C5B18" w:rsidRPr="00C67B4E" w:rsidRDefault="009C5B18" w:rsidP="00C67B4E">
            <w:pPr>
              <w:jc w:val="center"/>
              <w:rPr>
                <w:sz w:val="18"/>
                <w:szCs w:val="18"/>
              </w:rPr>
            </w:pPr>
            <w:r w:rsidRPr="00C67B4E">
              <w:rPr>
                <w:sz w:val="18"/>
                <w:szCs w:val="18"/>
              </w:rPr>
              <w:t>β</w:t>
            </w:r>
          </w:p>
        </w:tc>
      </w:tr>
      <w:tr w:rsidR="003E7BDB" w:rsidTr="00C67B4E">
        <w:tc>
          <w:tcPr>
            <w:tcW w:w="2662" w:type="dxa"/>
          </w:tcPr>
          <w:p w:rsidR="003E7BDB" w:rsidRPr="00C67B4E" w:rsidRDefault="00917220" w:rsidP="00C67B4E">
            <w:pPr>
              <w:jc w:val="both"/>
              <w:rPr>
                <w:b/>
                <w:sz w:val="18"/>
                <w:szCs w:val="18"/>
              </w:rPr>
            </w:pPr>
            <w:r w:rsidRPr="00C67B4E">
              <w:rPr>
                <w:b/>
                <w:sz w:val="18"/>
                <w:szCs w:val="18"/>
              </w:rPr>
              <w:t>Model 1</w:t>
            </w:r>
          </w:p>
        </w:tc>
        <w:tc>
          <w:tcPr>
            <w:tcW w:w="1982" w:type="dxa"/>
            <w:vAlign w:val="center"/>
          </w:tcPr>
          <w:p w:rsidR="003E7BDB" w:rsidRPr="00C67B4E" w:rsidRDefault="003E7BDB" w:rsidP="00C67B4E">
            <w:pPr>
              <w:jc w:val="center"/>
              <w:rPr>
                <w:sz w:val="18"/>
                <w:szCs w:val="18"/>
              </w:rPr>
            </w:pPr>
          </w:p>
        </w:tc>
      </w:tr>
      <w:tr w:rsidR="003E7BDB" w:rsidTr="00C67B4E">
        <w:tc>
          <w:tcPr>
            <w:tcW w:w="2662" w:type="dxa"/>
          </w:tcPr>
          <w:p w:rsidR="003E7BDB" w:rsidRPr="00C67B4E" w:rsidRDefault="00917220" w:rsidP="00C67B4E">
            <w:pPr>
              <w:jc w:val="both"/>
              <w:rPr>
                <w:sz w:val="18"/>
                <w:szCs w:val="18"/>
              </w:rPr>
            </w:pPr>
            <w:r w:rsidRPr="00C67B4E">
              <w:rPr>
                <w:sz w:val="18"/>
                <w:szCs w:val="18"/>
              </w:rPr>
              <w:t>Gelir</w:t>
            </w:r>
          </w:p>
        </w:tc>
        <w:tc>
          <w:tcPr>
            <w:tcW w:w="1982" w:type="dxa"/>
            <w:vAlign w:val="center"/>
          </w:tcPr>
          <w:p w:rsidR="003E7BDB" w:rsidRPr="00C67B4E" w:rsidRDefault="00917220" w:rsidP="00C67B4E">
            <w:pPr>
              <w:jc w:val="center"/>
              <w:rPr>
                <w:sz w:val="18"/>
                <w:szCs w:val="18"/>
              </w:rPr>
            </w:pPr>
            <w:r w:rsidRPr="00C67B4E">
              <w:rPr>
                <w:sz w:val="18"/>
                <w:szCs w:val="18"/>
              </w:rPr>
              <w:t>.08</w:t>
            </w:r>
          </w:p>
        </w:tc>
      </w:tr>
      <w:tr w:rsidR="00917220" w:rsidTr="00C67B4E">
        <w:tc>
          <w:tcPr>
            <w:tcW w:w="2662" w:type="dxa"/>
          </w:tcPr>
          <w:p w:rsidR="00917220" w:rsidRPr="00C67B4E" w:rsidRDefault="00917220" w:rsidP="00C67B4E">
            <w:pPr>
              <w:jc w:val="both"/>
              <w:rPr>
                <w:sz w:val="18"/>
                <w:szCs w:val="18"/>
              </w:rPr>
            </w:pPr>
            <w:r w:rsidRPr="00C67B4E">
              <w:rPr>
                <w:sz w:val="18"/>
                <w:szCs w:val="18"/>
              </w:rPr>
              <w:t>Yaş</w:t>
            </w:r>
          </w:p>
        </w:tc>
        <w:tc>
          <w:tcPr>
            <w:tcW w:w="1982" w:type="dxa"/>
            <w:vAlign w:val="center"/>
          </w:tcPr>
          <w:p w:rsidR="00917220" w:rsidRPr="00C67B4E" w:rsidRDefault="00917220" w:rsidP="00C67B4E">
            <w:pPr>
              <w:jc w:val="center"/>
              <w:rPr>
                <w:sz w:val="18"/>
                <w:szCs w:val="18"/>
              </w:rPr>
            </w:pPr>
            <w:r w:rsidRPr="00C67B4E">
              <w:rPr>
                <w:sz w:val="18"/>
                <w:szCs w:val="18"/>
              </w:rPr>
              <w:t>- .11</w:t>
            </w:r>
          </w:p>
        </w:tc>
      </w:tr>
      <w:tr w:rsidR="00917220" w:rsidTr="00C67B4E">
        <w:tc>
          <w:tcPr>
            <w:tcW w:w="2662" w:type="dxa"/>
          </w:tcPr>
          <w:p w:rsidR="00917220" w:rsidRPr="00C67B4E" w:rsidRDefault="00917220" w:rsidP="00C67B4E">
            <w:pPr>
              <w:jc w:val="both"/>
              <w:rPr>
                <w:sz w:val="18"/>
                <w:szCs w:val="18"/>
              </w:rPr>
            </w:pPr>
            <w:r w:rsidRPr="00C67B4E">
              <w:rPr>
                <w:sz w:val="18"/>
                <w:szCs w:val="18"/>
              </w:rPr>
              <w:t>F</w:t>
            </w:r>
          </w:p>
        </w:tc>
        <w:tc>
          <w:tcPr>
            <w:tcW w:w="1982" w:type="dxa"/>
            <w:vAlign w:val="center"/>
          </w:tcPr>
          <w:p w:rsidR="00917220" w:rsidRPr="00C67B4E" w:rsidRDefault="00917220" w:rsidP="00C67B4E">
            <w:pPr>
              <w:jc w:val="center"/>
              <w:rPr>
                <w:sz w:val="18"/>
                <w:szCs w:val="18"/>
              </w:rPr>
            </w:pPr>
            <w:r w:rsidRPr="00C67B4E">
              <w:rPr>
                <w:sz w:val="18"/>
                <w:szCs w:val="18"/>
              </w:rPr>
              <w:t>1.930</w:t>
            </w:r>
          </w:p>
        </w:tc>
      </w:tr>
      <w:tr w:rsidR="00723422" w:rsidTr="00C67B4E">
        <w:tc>
          <w:tcPr>
            <w:tcW w:w="2662" w:type="dxa"/>
          </w:tcPr>
          <w:p w:rsidR="00723422" w:rsidRPr="00723422" w:rsidRDefault="00723422" w:rsidP="00C67B4E">
            <w:pPr>
              <w:jc w:val="both"/>
              <w:rPr>
                <w:sz w:val="18"/>
                <w:szCs w:val="18"/>
              </w:rPr>
            </w:pPr>
            <w:r w:rsidRPr="00723422">
              <w:rPr>
                <w:sz w:val="18"/>
                <w:szCs w:val="18"/>
              </w:rPr>
              <w:t>ΔR²</w:t>
            </w:r>
          </w:p>
        </w:tc>
        <w:tc>
          <w:tcPr>
            <w:tcW w:w="1982" w:type="dxa"/>
            <w:vAlign w:val="center"/>
          </w:tcPr>
          <w:p w:rsidR="00723422" w:rsidRPr="00C67B4E" w:rsidRDefault="00F444D7" w:rsidP="00C67B4E">
            <w:pPr>
              <w:jc w:val="center"/>
              <w:rPr>
                <w:sz w:val="18"/>
                <w:szCs w:val="18"/>
              </w:rPr>
            </w:pPr>
            <w:r>
              <w:rPr>
                <w:sz w:val="18"/>
                <w:szCs w:val="18"/>
              </w:rPr>
              <w:t>.01</w:t>
            </w:r>
          </w:p>
        </w:tc>
      </w:tr>
      <w:tr w:rsidR="00917220" w:rsidTr="00C67B4E">
        <w:tc>
          <w:tcPr>
            <w:tcW w:w="2662" w:type="dxa"/>
          </w:tcPr>
          <w:p w:rsidR="00917220" w:rsidRPr="00C67B4E" w:rsidRDefault="00917220" w:rsidP="00C67B4E">
            <w:pPr>
              <w:jc w:val="both"/>
              <w:rPr>
                <w:b/>
                <w:sz w:val="18"/>
                <w:szCs w:val="18"/>
              </w:rPr>
            </w:pPr>
            <w:r w:rsidRPr="00C67B4E">
              <w:rPr>
                <w:b/>
                <w:sz w:val="18"/>
                <w:szCs w:val="18"/>
              </w:rPr>
              <w:t>Model 2</w:t>
            </w:r>
          </w:p>
        </w:tc>
        <w:tc>
          <w:tcPr>
            <w:tcW w:w="1982" w:type="dxa"/>
            <w:vAlign w:val="center"/>
          </w:tcPr>
          <w:p w:rsidR="00917220" w:rsidRPr="00C67B4E" w:rsidRDefault="00917220" w:rsidP="00C67B4E">
            <w:pPr>
              <w:jc w:val="center"/>
              <w:rPr>
                <w:sz w:val="18"/>
                <w:szCs w:val="18"/>
              </w:rPr>
            </w:pPr>
          </w:p>
        </w:tc>
      </w:tr>
      <w:tr w:rsidR="00917220" w:rsidTr="00C67B4E">
        <w:tc>
          <w:tcPr>
            <w:tcW w:w="2662" w:type="dxa"/>
          </w:tcPr>
          <w:p w:rsidR="00917220" w:rsidRPr="00C67B4E" w:rsidRDefault="00917220" w:rsidP="00C67B4E">
            <w:pPr>
              <w:jc w:val="both"/>
              <w:rPr>
                <w:sz w:val="18"/>
                <w:szCs w:val="18"/>
              </w:rPr>
            </w:pPr>
            <w:r w:rsidRPr="00C67B4E">
              <w:rPr>
                <w:sz w:val="18"/>
                <w:szCs w:val="18"/>
              </w:rPr>
              <w:t>Gelir</w:t>
            </w:r>
          </w:p>
        </w:tc>
        <w:tc>
          <w:tcPr>
            <w:tcW w:w="1982" w:type="dxa"/>
            <w:vAlign w:val="center"/>
          </w:tcPr>
          <w:p w:rsidR="00917220" w:rsidRPr="00C67B4E" w:rsidRDefault="00917220" w:rsidP="00C67B4E">
            <w:pPr>
              <w:jc w:val="center"/>
              <w:rPr>
                <w:sz w:val="18"/>
                <w:szCs w:val="18"/>
              </w:rPr>
            </w:pPr>
            <w:r w:rsidRPr="00C67B4E">
              <w:rPr>
                <w:sz w:val="18"/>
                <w:szCs w:val="18"/>
              </w:rPr>
              <w:t>.01</w:t>
            </w:r>
          </w:p>
        </w:tc>
      </w:tr>
      <w:tr w:rsidR="00917220" w:rsidTr="00C67B4E">
        <w:tc>
          <w:tcPr>
            <w:tcW w:w="2662" w:type="dxa"/>
          </w:tcPr>
          <w:p w:rsidR="00917220" w:rsidRPr="00C67B4E" w:rsidRDefault="00917220" w:rsidP="00C67B4E">
            <w:pPr>
              <w:jc w:val="both"/>
              <w:rPr>
                <w:sz w:val="18"/>
                <w:szCs w:val="18"/>
              </w:rPr>
            </w:pPr>
            <w:r w:rsidRPr="00C67B4E">
              <w:rPr>
                <w:sz w:val="18"/>
                <w:szCs w:val="18"/>
              </w:rPr>
              <w:t>Yaş</w:t>
            </w:r>
          </w:p>
        </w:tc>
        <w:tc>
          <w:tcPr>
            <w:tcW w:w="1982" w:type="dxa"/>
            <w:vAlign w:val="center"/>
          </w:tcPr>
          <w:p w:rsidR="00917220" w:rsidRPr="00C67B4E" w:rsidRDefault="00917220" w:rsidP="00C67B4E">
            <w:pPr>
              <w:jc w:val="center"/>
              <w:rPr>
                <w:sz w:val="18"/>
                <w:szCs w:val="18"/>
              </w:rPr>
            </w:pPr>
            <w:r w:rsidRPr="00C67B4E">
              <w:rPr>
                <w:sz w:val="18"/>
                <w:szCs w:val="18"/>
              </w:rPr>
              <w:t>- .06</w:t>
            </w:r>
          </w:p>
        </w:tc>
      </w:tr>
      <w:tr w:rsidR="00917220" w:rsidTr="00C67B4E">
        <w:tc>
          <w:tcPr>
            <w:tcW w:w="2662" w:type="dxa"/>
          </w:tcPr>
          <w:p w:rsidR="00917220" w:rsidRPr="00C67B4E" w:rsidRDefault="00917220" w:rsidP="00C67B4E">
            <w:pPr>
              <w:jc w:val="both"/>
              <w:rPr>
                <w:sz w:val="18"/>
                <w:szCs w:val="18"/>
              </w:rPr>
            </w:pPr>
            <w:r w:rsidRPr="00C67B4E">
              <w:rPr>
                <w:sz w:val="18"/>
                <w:szCs w:val="18"/>
              </w:rPr>
              <w:t>Marka Farkındalığı</w:t>
            </w:r>
          </w:p>
        </w:tc>
        <w:tc>
          <w:tcPr>
            <w:tcW w:w="1982" w:type="dxa"/>
            <w:vAlign w:val="center"/>
          </w:tcPr>
          <w:p w:rsidR="00917220" w:rsidRPr="00C67B4E" w:rsidRDefault="00917220" w:rsidP="00C67B4E">
            <w:pPr>
              <w:jc w:val="center"/>
              <w:rPr>
                <w:sz w:val="18"/>
                <w:szCs w:val="18"/>
              </w:rPr>
            </w:pPr>
            <w:r w:rsidRPr="00C67B4E">
              <w:rPr>
                <w:sz w:val="18"/>
                <w:szCs w:val="18"/>
              </w:rPr>
              <w:t>.06</w:t>
            </w:r>
          </w:p>
        </w:tc>
      </w:tr>
      <w:tr w:rsidR="00917220" w:rsidTr="00C67B4E">
        <w:tc>
          <w:tcPr>
            <w:tcW w:w="2662" w:type="dxa"/>
          </w:tcPr>
          <w:p w:rsidR="00917220" w:rsidRPr="00C67B4E" w:rsidRDefault="00917220" w:rsidP="00C67B4E">
            <w:pPr>
              <w:jc w:val="both"/>
              <w:rPr>
                <w:sz w:val="18"/>
                <w:szCs w:val="18"/>
              </w:rPr>
            </w:pPr>
            <w:r w:rsidRPr="00C67B4E">
              <w:rPr>
                <w:sz w:val="18"/>
                <w:szCs w:val="18"/>
              </w:rPr>
              <w:t>Algılanan Kalite</w:t>
            </w:r>
          </w:p>
        </w:tc>
        <w:tc>
          <w:tcPr>
            <w:tcW w:w="1982" w:type="dxa"/>
            <w:vAlign w:val="center"/>
          </w:tcPr>
          <w:p w:rsidR="00917220" w:rsidRPr="00C67B4E" w:rsidRDefault="00917220" w:rsidP="00C67B4E">
            <w:pPr>
              <w:jc w:val="center"/>
              <w:rPr>
                <w:sz w:val="18"/>
                <w:szCs w:val="18"/>
              </w:rPr>
            </w:pPr>
            <w:r w:rsidRPr="00C67B4E">
              <w:rPr>
                <w:sz w:val="18"/>
                <w:szCs w:val="18"/>
              </w:rPr>
              <w:t>.42</w:t>
            </w:r>
            <w:r w:rsidR="00BD58E2" w:rsidRPr="00C67B4E">
              <w:rPr>
                <w:sz w:val="18"/>
                <w:szCs w:val="18"/>
                <w:vertAlign w:val="superscript"/>
              </w:rPr>
              <w:t>***</w:t>
            </w:r>
          </w:p>
        </w:tc>
      </w:tr>
      <w:tr w:rsidR="00917220" w:rsidTr="00C67B4E">
        <w:tc>
          <w:tcPr>
            <w:tcW w:w="2662" w:type="dxa"/>
          </w:tcPr>
          <w:p w:rsidR="00917220" w:rsidRPr="00C67B4E" w:rsidRDefault="00917220" w:rsidP="00C67B4E">
            <w:pPr>
              <w:jc w:val="both"/>
              <w:rPr>
                <w:sz w:val="18"/>
                <w:szCs w:val="18"/>
              </w:rPr>
            </w:pPr>
            <w:r w:rsidRPr="00C67B4E">
              <w:rPr>
                <w:sz w:val="18"/>
                <w:szCs w:val="18"/>
              </w:rPr>
              <w:t>Marka Çağrışımları</w:t>
            </w:r>
          </w:p>
        </w:tc>
        <w:tc>
          <w:tcPr>
            <w:tcW w:w="1982" w:type="dxa"/>
            <w:vAlign w:val="center"/>
          </w:tcPr>
          <w:p w:rsidR="00917220" w:rsidRPr="00C67B4E" w:rsidRDefault="00917220" w:rsidP="00C67B4E">
            <w:pPr>
              <w:jc w:val="center"/>
              <w:rPr>
                <w:sz w:val="18"/>
                <w:szCs w:val="18"/>
              </w:rPr>
            </w:pPr>
            <w:r w:rsidRPr="00C67B4E">
              <w:rPr>
                <w:sz w:val="18"/>
                <w:szCs w:val="18"/>
              </w:rPr>
              <w:t>- .04</w:t>
            </w:r>
          </w:p>
        </w:tc>
      </w:tr>
      <w:tr w:rsidR="00917220" w:rsidTr="00C67B4E">
        <w:tc>
          <w:tcPr>
            <w:tcW w:w="2662" w:type="dxa"/>
          </w:tcPr>
          <w:p w:rsidR="00917220" w:rsidRPr="00C67B4E" w:rsidRDefault="00917220" w:rsidP="00C67B4E">
            <w:pPr>
              <w:jc w:val="both"/>
              <w:rPr>
                <w:sz w:val="18"/>
                <w:szCs w:val="18"/>
              </w:rPr>
            </w:pPr>
            <w:r w:rsidRPr="00C67B4E">
              <w:rPr>
                <w:sz w:val="18"/>
                <w:szCs w:val="18"/>
              </w:rPr>
              <w:t>Marka Sadakati</w:t>
            </w:r>
          </w:p>
        </w:tc>
        <w:tc>
          <w:tcPr>
            <w:tcW w:w="1982" w:type="dxa"/>
            <w:vAlign w:val="center"/>
          </w:tcPr>
          <w:p w:rsidR="00917220" w:rsidRPr="00C67B4E" w:rsidRDefault="00917220" w:rsidP="00C67B4E">
            <w:pPr>
              <w:jc w:val="center"/>
              <w:rPr>
                <w:sz w:val="18"/>
                <w:szCs w:val="18"/>
              </w:rPr>
            </w:pPr>
            <w:r w:rsidRPr="00C67B4E">
              <w:rPr>
                <w:sz w:val="18"/>
                <w:szCs w:val="18"/>
              </w:rPr>
              <w:t>.41</w:t>
            </w:r>
            <w:r w:rsidR="00BD58E2" w:rsidRPr="00C67B4E">
              <w:rPr>
                <w:sz w:val="18"/>
                <w:szCs w:val="18"/>
                <w:vertAlign w:val="superscript"/>
              </w:rPr>
              <w:t>***</w:t>
            </w:r>
          </w:p>
        </w:tc>
      </w:tr>
      <w:tr w:rsidR="00917220" w:rsidTr="00C67B4E">
        <w:tc>
          <w:tcPr>
            <w:tcW w:w="2662" w:type="dxa"/>
          </w:tcPr>
          <w:p w:rsidR="00917220" w:rsidRPr="00C67B4E" w:rsidRDefault="00917220" w:rsidP="00C67B4E">
            <w:pPr>
              <w:jc w:val="both"/>
              <w:rPr>
                <w:sz w:val="18"/>
                <w:szCs w:val="18"/>
              </w:rPr>
            </w:pPr>
            <w:r w:rsidRPr="00C67B4E">
              <w:rPr>
                <w:sz w:val="18"/>
                <w:szCs w:val="18"/>
              </w:rPr>
              <w:t>F</w:t>
            </w:r>
          </w:p>
        </w:tc>
        <w:tc>
          <w:tcPr>
            <w:tcW w:w="1982" w:type="dxa"/>
            <w:vAlign w:val="center"/>
          </w:tcPr>
          <w:p w:rsidR="00917220" w:rsidRPr="00C67B4E" w:rsidRDefault="00917220" w:rsidP="00C67B4E">
            <w:pPr>
              <w:jc w:val="center"/>
              <w:rPr>
                <w:sz w:val="18"/>
                <w:szCs w:val="18"/>
              </w:rPr>
            </w:pPr>
            <w:r w:rsidRPr="00C67B4E">
              <w:rPr>
                <w:sz w:val="18"/>
                <w:szCs w:val="18"/>
              </w:rPr>
              <w:t>59.997</w:t>
            </w:r>
            <w:r w:rsidR="00444BA5" w:rsidRPr="00C67B4E">
              <w:rPr>
                <w:sz w:val="18"/>
                <w:szCs w:val="18"/>
                <w:vertAlign w:val="superscript"/>
              </w:rPr>
              <w:t>***</w:t>
            </w:r>
          </w:p>
        </w:tc>
      </w:tr>
      <w:tr w:rsidR="00F444D7" w:rsidTr="00C67B4E">
        <w:tc>
          <w:tcPr>
            <w:tcW w:w="2662" w:type="dxa"/>
          </w:tcPr>
          <w:p w:rsidR="00F444D7" w:rsidRPr="00F444D7" w:rsidRDefault="00F444D7" w:rsidP="00C67B4E">
            <w:pPr>
              <w:jc w:val="both"/>
              <w:rPr>
                <w:sz w:val="18"/>
                <w:szCs w:val="18"/>
              </w:rPr>
            </w:pPr>
            <w:r w:rsidRPr="00F444D7">
              <w:rPr>
                <w:sz w:val="18"/>
                <w:szCs w:val="18"/>
              </w:rPr>
              <w:t>ΔR²</w:t>
            </w:r>
          </w:p>
        </w:tc>
        <w:tc>
          <w:tcPr>
            <w:tcW w:w="1982" w:type="dxa"/>
            <w:vAlign w:val="center"/>
          </w:tcPr>
          <w:p w:rsidR="00F444D7" w:rsidRPr="00C67B4E" w:rsidRDefault="00F444D7" w:rsidP="00C67B4E">
            <w:pPr>
              <w:jc w:val="center"/>
              <w:rPr>
                <w:sz w:val="18"/>
                <w:szCs w:val="18"/>
              </w:rPr>
            </w:pPr>
            <w:r>
              <w:rPr>
                <w:sz w:val="18"/>
                <w:szCs w:val="18"/>
              </w:rPr>
              <w:t>0.55</w:t>
            </w:r>
          </w:p>
        </w:tc>
      </w:tr>
    </w:tbl>
    <w:p w:rsidR="009C5B18" w:rsidRPr="001A6746" w:rsidRDefault="00AE1586" w:rsidP="00E47D7E">
      <w:pPr>
        <w:spacing w:before="120" w:after="120"/>
        <w:jc w:val="both"/>
        <w:rPr>
          <w:sz w:val="20"/>
          <w:szCs w:val="20"/>
        </w:rPr>
      </w:pPr>
      <w:r>
        <w:rPr>
          <w:sz w:val="20"/>
          <w:szCs w:val="20"/>
        </w:rPr>
        <w:t xml:space="preserve"> </w:t>
      </w:r>
      <w:r>
        <w:rPr>
          <w:sz w:val="20"/>
          <w:szCs w:val="20"/>
        </w:rPr>
        <w:tab/>
      </w:r>
      <w:r>
        <w:rPr>
          <w:sz w:val="20"/>
          <w:szCs w:val="20"/>
        </w:rPr>
        <w:tab/>
      </w:r>
      <w:r>
        <w:rPr>
          <w:sz w:val="20"/>
          <w:szCs w:val="20"/>
        </w:rPr>
        <w:tab/>
      </w:r>
      <w:r w:rsidR="001A6746" w:rsidRPr="001A6746">
        <w:rPr>
          <w:sz w:val="20"/>
          <w:szCs w:val="20"/>
        </w:rPr>
        <w:t>***p&lt;0.001</w:t>
      </w:r>
    </w:p>
    <w:p w:rsidR="00172A16" w:rsidRDefault="00172A16" w:rsidP="00E47D7E">
      <w:pPr>
        <w:spacing w:before="120" w:after="120"/>
        <w:jc w:val="both"/>
        <w:rPr>
          <w:sz w:val="20"/>
          <w:szCs w:val="20"/>
        </w:rPr>
      </w:pPr>
      <w:r>
        <w:rPr>
          <w:sz w:val="20"/>
          <w:szCs w:val="20"/>
        </w:rPr>
        <w:t>Regresyon analizi sonuçları incelendiğinde; algılanan kalite ve marka sadakatinin marka tercihini pozitif yönde etkilediği ancak marka farkındalığı ve marka çağrışımlarının marka tercihi</w:t>
      </w:r>
      <w:r w:rsidR="009C5B18">
        <w:rPr>
          <w:sz w:val="20"/>
          <w:szCs w:val="20"/>
        </w:rPr>
        <w:t xml:space="preserve"> üzerine bir etkisini olmadığı görülmüştür. Bu durumda Hipotez 2 ve 4 kabul edilirken, Hipotez 1 ve 3 reddedilmiştir.</w:t>
      </w:r>
    </w:p>
    <w:p w:rsidR="00172A16" w:rsidRDefault="004E4DE5" w:rsidP="00E47D7E">
      <w:pPr>
        <w:spacing w:before="120" w:after="120"/>
        <w:jc w:val="both"/>
        <w:rPr>
          <w:sz w:val="20"/>
          <w:szCs w:val="20"/>
        </w:rPr>
      </w:pPr>
      <w:r>
        <w:rPr>
          <w:sz w:val="20"/>
          <w:szCs w:val="20"/>
        </w:rPr>
        <w:t xml:space="preserve">Tüketici temelli marka değeri alt boyutları ile marka tercihleri arasındaki ilişkide ailenin aracılık rolünü tespit etmek maksadıyla AMOS programıyla yapısal eşitlik modellemesiyle yol testi yapılmıştır. Anılan test sonucu söz konusu ilişkide ailenin aracılık rolü tespit edilememiştir. Bu nedenle Hipotez 5 reddedilmiştir. Yol testi </w:t>
      </w:r>
      <w:r w:rsidR="003F4361">
        <w:rPr>
          <w:sz w:val="20"/>
          <w:szCs w:val="20"/>
        </w:rPr>
        <w:t>diyagramı Şekil 1’de gösterilmiştir.</w:t>
      </w:r>
    </w:p>
    <w:p w:rsidR="00917220" w:rsidRDefault="0023140B" w:rsidP="00E47D7E">
      <w:pPr>
        <w:spacing w:before="120" w:after="120"/>
        <w:jc w:val="both"/>
        <w:rPr>
          <w:sz w:val="20"/>
          <w:szCs w:val="20"/>
        </w:rPr>
      </w:pPr>
      <w:r>
        <w:rPr>
          <w:noProof/>
        </w:rPr>
        <w:lastRenderedPageBreak/>
        <w:drawing>
          <wp:inline distT="0" distB="0" distL="0" distR="0" wp14:anchorId="05F5765E" wp14:editId="34CA9C16">
            <wp:extent cx="5749446" cy="3923071"/>
            <wp:effectExtent l="0" t="0" r="381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9606" t="20516" r="8080" b="21752"/>
                    <a:stretch/>
                  </pic:blipFill>
                  <pic:spPr bwMode="auto">
                    <a:xfrm>
                      <a:off x="0" y="0"/>
                      <a:ext cx="5759450" cy="3929897"/>
                    </a:xfrm>
                    <a:prstGeom prst="rect">
                      <a:avLst/>
                    </a:prstGeom>
                    <a:ln>
                      <a:noFill/>
                    </a:ln>
                    <a:extLst>
                      <a:ext uri="{53640926-AAD7-44D8-BBD7-CCE9431645EC}">
                        <a14:shadowObscured xmlns:a14="http://schemas.microsoft.com/office/drawing/2010/main"/>
                      </a:ext>
                    </a:extLst>
                  </pic:spPr>
                </pic:pic>
              </a:graphicData>
            </a:graphic>
          </wp:inline>
        </w:drawing>
      </w:r>
    </w:p>
    <w:p w:rsidR="003F4361" w:rsidRDefault="003F4361" w:rsidP="003F4361">
      <w:pPr>
        <w:spacing w:before="120" w:after="120"/>
        <w:jc w:val="center"/>
        <w:rPr>
          <w:sz w:val="20"/>
          <w:szCs w:val="20"/>
        </w:rPr>
      </w:pPr>
      <w:r w:rsidRPr="004E4DE5">
        <w:rPr>
          <w:b/>
          <w:sz w:val="20"/>
          <w:szCs w:val="20"/>
        </w:rPr>
        <w:t>Şekil 1:</w:t>
      </w:r>
      <w:r>
        <w:rPr>
          <w:sz w:val="20"/>
          <w:szCs w:val="20"/>
        </w:rPr>
        <w:t xml:space="preserve"> Araştırmanın Yol Testi Diyagramı</w:t>
      </w:r>
    </w:p>
    <w:p w:rsidR="00917220" w:rsidRPr="00E47D7E" w:rsidRDefault="00917220" w:rsidP="00E47D7E">
      <w:pPr>
        <w:spacing w:before="120" w:after="120"/>
        <w:jc w:val="both"/>
        <w:rPr>
          <w:sz w:val="20"/>
          <w:szCs w:val="20"/>
        </w:rPr>
      </w:pPr>
    </w:p>
    <w:p w:rsidR="005F657D" w:rsidRDefault="005F657D" w:rsidP="005F657D">
      <w:pPr>
        <w:spacing w:before="120" w:after="120"/>
        <w:rPr>
          <w:b/>
          <w:sz w:val="20"/>
          <w:szCs w:val="20"/>
        </w:rPr>
      </w:pPr>
      <w:r>
        <w:rPr>
          <w:b/>
          <w:sz w:val="20"/>
          <w:szCs w:val="20"/>
        </w:rPr>
        <w:t>5. TARTIŞMA VE SONUÇ</w:t>
      </w:r>
    </w:p>
    <w:p w:rsidR="008A4E70" w:rsidRDefault="008A4E70" w:rsidP="008A4E70">
      <w:pPr>
        <w:spacing w:before="120" w:after="120"/>
        <w:jc w:val="both"/>
        <w:rPr>
          <w:color w:val="000000"/>
          <w:sz w:val="20"/>
          <w:szCs w:val="20"/>
        </w:rPr>
      </w:pPr>
      <w:r>
        <w:rPr>
          <w:color w:val="000000"/>
          <w:sz w:val="20"/>
          <w:szCs w:val="20"/>
        </w:rPr>
        <w:t>Yazında önceki araştırmalarda, tüketici temelli marka değerinin marka tercihlerini pozitif yönde etkilediği tespit edilmiştir (Moradi ve Zarei, 2011, Chang ve Liu, 2009, Chen ve Chang, 2008) ancak söz konusu araştırmalarda tüketici temelli marka değerinin alt boyutlarının marka tercihlerine etkisi ayrı ayrı incelenmemiştir.</w:t>
      </w:r>
      <w:r w:rsidR="003208AB">
        <w:rPr>
          <w:color w:val="000000"/>
          <w:sz w:val="20"/>
          <w:szCs w:val="20"/>
        </w:rPr>
        <w:t xml:space="preserve"> Bu çalışmada, tüketici temelli marka değerinin alt boyutlarının marka tercihlerine etkileri araştırma konusu yapılmıştır.</w:t>
      </w:r>
    </w:p>
    <w:p w:rsidR="00935922" w:rsidRDefault="009010CE" w:rsidP="00AD2108">
      <w:pPr>
        <w:spacing w:before="120" w:after="120"/>
        <w:jc w:val="both"/>
        <w:rPr>
          <w:color w:val="000000"/>
          <w:sz w:val="20"/>
          <w:szCs w:val="20"/>
        </w:rPr>
      </w:pPr>
      <w:r>
        <w:rPr>
          <w:color w:val="000000"/>
          <w:sz w:val="20"/>
          <w:szCs w:val="20"/>
        </w:rPr>
        <w:t>Çalışma sonucunda ulaşılan bulgulara göre</w:t>
      </w:r>
      <w:r w:rsidR="00284AE2">
        <w:rPr>
          <w:color w:val="000000"/>
          <w:sz w:val="20"/>
          <w:szCs w:val="20"/>
        </w:rPr>
        <w:t>,</w:t>
      </w:r>
      <w:r w:rsidR="00AD2108">
        <w:rPr>
          <w:color w:val="000000"/>
          <w:sz w:val="20"/>
          <w:szCs w:val="20"/>
        </w:rPr>
        <w:t xml:space="preserve"> tüketici temelli marka değerinin alt boyutları olan marka farkındalığı ve </w:t>
      </w:r>
      <w:r w:rsidR="00284AE2">
        <w:rPr>
          <w:color w:val="000000"/>
          <w:sz w:val="20"/>
          <w:szCs w:val="20"/>
        </w:rPr>
        <w:t>marka çağrışımının marka tercihleri üzerine bir etkisi saptanamamıştır. Ancak tüketici temelli marka değerinin diğer alt boyutları olan algılanan kalite ve marka sadakatinin ise marka tercihlerini pozitif yönde etkilediği belirlenmiştir.</w:t>
      </w:r>
      <w:r w:rsidR="00D2257B">
        <w:rPr>
          <w:color w:val="000000"/>
          <w:sz w:val="20"/>
          <w:szCs w:val="20"/>
        </w:rPr>
        <w:t xml:space="preserve"> </w:t>
      </w:r>
    </w:p>
    <w:p w:rsidR="00980302" w:rsidRDefault="00980302" w:rsidP="00AD2108">
      <w:pPr>
        <w:spacing w:before="120" w:after="120"/>
        <w:jc w:val="both"/>
        <w:rPr>
          <w:color w:val="000000"/>
          <w:sz w:val="20"/>
          <w:szCs w:val="20"/>
        </w:rPr>
      </w:pPr>
      <w:r>
        <w:rPr>
          <w:color w:val="000000"/>
          <w:sz w:val="20"/>
          <w:szCs w:val="20"/>
        </w:rPr>
        <w:t>Söz konusu tespitlere istinaden, tüketicilerin kullandıkları beyaz eşya markalarının; farkında olmaları, beyaz eşya da ilk akıllarına o markanın gelmesi, markanın çok tanıdık olması, markanın iyi bir fiyata ve güçlü bir imaja sahip olması, markayı üreten şirketin itibarını</w:t>
      </w:r>
      <w:r w:rsidR="00567710">
        <w:rPr>
          <w:color w:val="000000"/>
          <w:sz w:val="20"/>
          <w:szCs w:val="20"/>
        </w:rPr>
        <w:t>n</w:t>
      </w:r>
      <w:r>
        <w:rPr>
          <w:color w:val="000000"/>
          <w:sz w:val="20"/>
          <w:szCs w:val="20"/>
        </w:rPr>
        <w:t xml:space="preserve"> olduğunu düşünmeleri </w:t>
      </w:r>
      <w:r w:rsidR="00567710">
        <w:rPr>
          <w:color w:val="000000"/>
          <w:sz w:val="20"/>
          <w:szCs w:val="20"/>
        </w:rPr>
        <w:t>vb. faktörlere rağmen, tüketicilerin, anılan</w:t>
      </w:r>
      <w:r>
        <w:rPr>
          <w:color w:val="000000"/>
          <w:sz w:val="20"/>
          <w:szCs w:val="20"/>
        </w:rPr>
        <w:t xml:space="preserve"> markayı tercih etmelerine yeterli olamadığı değerlendirmesi yapılabilir.</w:t>
      </w:r>
    </w:p>
    <w:p w:rsidR="00567710" w:rsidRDefault="001512D0" w:rsidP="00AD2108">
      <w:pPr>
        <w:spacing w:before="120" w:after="120"/>
        <w:jc w:val="both"/>
        <w:rPr>
          <w:color w:val="000000"/>
          <w:sz w:val="20"/>
          <w:szCs w:val="20"/>
        </w:rPr>
      </w:pPr>
      <w:r>
        <w:rPr>
          <w:color w:val="000000"/>
          <w:sz w:val="20"/>
          <w:szCs w:val="20"/>
        </w:rPr>
        <w:t>Tüketicileri esas etkileyen, diğer markaların pazarlama çabalarına rağmen sadık bir müşteri olarak aynı markayı satın almaya ikna</w:t>
      </w:r>
      <w:r w:rsidR="00B54959">
        <w:rPr>
          <w:color w:val="000000"/>
          <w:sz w:val="20"/>
          <w:szCs w:val="20"/>
        </w:rPr>
        <w:t xml:space="preserve"> eden</w:t>
      </w:r>
      <w:r w:rsidR="00E359D4">
        <w:rPr>
          <w:color w:val="000000"/>
          <w:sz w:val="20"/>
          <w:szCs w:val="20"/>
        </w:rPr>
        <w:t xml:space="preserve"> ve sürekli olarak aynı markayı aramalarına ve tercih etmelerine</w:t>
      </w:r>
      <w:r>
        <w:rPr>
          <w:color w:val="000000"/>
          <w:sz w:val="20"/>
          <w:szCs w:val="20"/>
        </w:rPr>
        <w:t xml:space="preserve"> </w:t>
      </w:r>
      <w:r w:rsidR="00E359D4">
        <w:rPr>
          <w:color w:val="000000"/>
          <w:sz w:val="20"/>
          <w:szCs w:val="20"/>
        </w:rPr>
        <w:t>n</w:t>
      </w:r>
      <w:r>
        <w:rPr>
          <w:color w:val="000000"/>
          <w:sz w:val="20"/>
          <w:szCs w:val="20"/>
        </w:rPr>
        <w:t xml:space="preserve">eden </w:t>
      </w:r>
      <w:r w:rsidR="00E359D4">
        <w:rPr>
          <w:color w:val="000000"/>
          <w:sz w:val="20"/>
          <w:szCs w:val="20"/>
        </w:rPr>
        <w:t xml:space="preserve">olan </w:t>
      </w:r>
      <w:r>
        <w:rPr>
          <w:color w:val="000000"/>
          <w:sz w:val="20"/>
          <w:szCs w:val="20"/>
        </w:rPr>
        <w:t>hususlar ise, markanın sürekli; kaliteli, geliş</w:t>
      </w:r>
      <w:r w:rsidR="00656CB9">
        <w:rPr>
          <w:color w:val="000000"/>
          <w:sz w:val="20"/>
          <w:szCs w:val="20"/>
        </w:rPr>
        <w:t>miş ve sağlam ürünler sunması olduğu ifade edilebilir</w:t>
      </w:r>
      <w:r>
        <w:rPr>
          <w:color w:val="000000"/>
          <w:sz w:val="20"/>
          <w:szCs w:val="20"/>
        </w:rPr>
        <w:t>.</w:t>
      </w:r>
    </w:p>
    <w:p w:rsidR="006E4A94" w:rsidRDefault="00656CB9" w:rsidP="00AD2108">
      <w:pPr>
        <w:spacing w:before="120" w:after="120"/>
        <w:jc w:val="both"/>
        <w:rPr>
          <w:color w:val="000000"/>
          <w:sz w:val="20"/>
          <w:szCs w:val="20"/>
        </w:rPr>
      </w:pPr>
      <w:r>
        <w:rPr>
          <w:color w:val="000000"/>
          <w:sz w:val="20"/>
          <w:szCs w:val="20"/>
        </w:rPr>
        <w:t>Bu tespitlerin ışığında, hem işletme üst yönetimlerince hem de pazarlama ve marka yöneticilerince, tüketicilerin gözünde güçlü bir marka değerine sahip olabilmek için, pazarlama faaliyetlerinde; kaliteyi, sağlamlığı ve gelişmiş özellikleri çok daha fazla ön plana çıkarmaları gerektiğine yönelik bir değerlendirme yapılabilir.</w:t>
      </w:r>
    </w:p>
    <w:p w:rsidR="00656CB9" w:rsidRDefault="00A67D5C" w:rsidP="00AD2108">
      <w:pPr>
        <w:spacing w:before="120" w:after="120"/>
        <w:jc w:val="both"/>
        <w:rPr>
          <w:color w:val="000000"/>
          <w:sz w:val="20"/>
          <w:szCs w:val="20"/>
        </w:rPr>
      </w:pPr>
      <w:r>
        <w:rPr>
          <w:color w:val="000000"/>
          <w:sz w:val="20"/>
          <w:szCs w:val="20"/>
        </w:rPr>
        <w:t>Tüketici temelli marka değeriyle marka tercihleri arasındaki ilişkide ailenin aracılık rolü tespit edilemediğinden ve bu konuda daha önce yapılmış bir çalışma</w:t>
      </w:r>
      <w:r w:rsidR="007341A1">
        <w:rPr>
          <w:color w:val="000000"/>
          <w:sz w:val="20"/>
          <w:szCs w:val="20"/>
        </w:rPr>
        <w:t>ya rastlanılmamış</w:t>
      </w:r>
      <w:r>
        <w:rPr>
          <w:color w:val="000000"/>
          <w:sz w:val="20"/>
          <w:szCs w:val="20"/>
        </w:rPr>
        <w:t xml:space="preserve"> olmaması nedeniyle</w:t>
      </w:r>
      <w:r w:rsidR="003B0E07">
        <w:rPr>
          <w:color w:val="000000"/>
          <w:sz w:val="20"/>
          <w:szCs w:val="20"/>
        </w:rPr>
        <w:t>,</w:t>
      </w:r>
      <w:r>
        <w:rPr>
          <w:color w:val="000000"/>
          <w:sz w:val="20"/>
          <w:szCs w:val="20"/>
        </w:rPr>
        <w:t xml:space="preserve"> </w:t>
      </w:r>
      <w:r w:rsidR="007341A1">
        <w:rPr>
          <w:color w:val="000000"/>
          <w:sz w:val="20"/>
          <w:szCs w:val="20"/>
        </w:rPr>
        <w:t xml:space="preserve">çalışmanın </w:t>
      </w:r>
      <w:r>
        <w:rPr>
          <w:color w:val="000000"/>
          <w:sz w:val="20"/>
          <w:szCs w:val="20"/>
        </w:rPr>
        <w:t xml:space="preserve">bu </w:t>
      </w:r>
      <w:r w:rsidR="007341A1">
        <w:rPr>
          <w:color w:val="000000"/>
          <w:sz w:val="20"/>
          <w:szCs w:val="20"/>
        </w:rPr>
        <w:t>yönüyle</w:t>
      </w:r>
      <w:r>
        <w:rPr>
          <w:color w:val="000000"/>
          <w:sz w:val="20"/>
          <w:szCs w:val="20"/>
        </w:rPr>
        <w:t xml:space="preserve"> yazına katkı </w:t>
      </w:r>
      <w:r w:rsidR="007341A1">
        <w:rPr>
          <w:color w:val="000000"/>
          <w:sz w:val="20"/>
          <w:szCs w:val="20"/>
        </w:rPr>
        <w:t>sunabile</w:t>
      </w:r>
      <w:r>
        <w:rPr>
          <w:color w:val="000000"/>
          <w:sz w:val="20"/>
          <w:szCs w:val="20"/>
        </w:rPr>
        <w:t>ceği değerlendirilmektedir.</w:t>
      </w:r>
    </w:p>
    <w:p w:rsidR="00403E03" w:rsidRDefault="003B0E07" w:rsidP="00AD2108">
      <w:pPr>
        <w:spacing w:before="120" w:after="120"/>
        <w:jc w:val="both"/>
        <w:rPr>
          <w:color w:val="000000"/>
          <w:sz w:val="20"/>
          <w:szCs w:val="20"/>
        </w:rPr>
      </w:pPr>
      <w:r>
        <w:rPr>
          <w:color w:val="000000"/>
          <w:sz w:val="20"/>
          <w:szCs w:val="20"/>
        </w:rPr>
        <w:t>Bu</w:t>
      </w:r>
      <w:r w:rsidR="00403E03">
        <w:rPr>
          <w:color w:val="000000"/>
          <w:sz w:val="20"/>
          <w:szCs w:val="20"/>
        </w:rPr>
        <w:t xml:space="preserve"> bulguların yanında çalışmanın</w:t>
      </w:r>
      <w:r>
        <w:rPr>
          <w:color w:val="000000"/>
          <w:sz w:val="20"/>
          <w:szCs w:val="20"/>
        </w:rPr>
        <w:t xml:space="preserve"> sınırlılıklar</w:t>
      </w:r>
      <w:r w:rsidR="00403E03">
        <w:rPr>
          <w:color w:val="000000"/>
          <w:sz w:val="20"/>
          <w:szCs w:val="20"/>
        </w:rPr>
        <w:t xml:space="preserve">ı; kolayda örnekleme metodunun kullanılması, </w:t>
      </w:r>
      <w:r w:rsidR="009C1729">
        <w:rPr>
          <w:color w:val="000000"/>
          <w:sz w:val="20"/>
          <w:szCs w:val="20"/>
        </w:rPr>
        <w:t xml:space="preserve">verilerin </w:t>
      </w:r>
      <w:r w:rsidR="009C1729" w:rsidRPr="00E47D7E">
        <w:rPr>
          <w:sz w:val="20"/>
          <w:szCs w:val="20"/>
        </w:rPr>
        <w:t>anlık (cross-sectional) olarak toplan</w:t>
      </w:r>
      <w:r w:rsidR="009C1729">
        <w:rPr>
          <w:sz w:val="20"/>
          <w:szCs w:val="20"/>
        </w:rPr>
        <w:t>ması</w:t>
      </w:r>
      <w:r w:rsidR="00403E03">
        <w:rPr>
          <w:color w:val="000000"/>
          <w:sz w:val="20"/>
          <w:szCs w:val="20"/>
        </w:rPr>
        <w:t>, araştırmanın sadece Ankara ilinde ve beyaz eşya sektörüne yönelik olması olarak</w:t>
      </w:r>
      <w:r w:rsidR="00EA1335">
        <w:rPr>
          <w:color w:val="000000"/>
          <w:sz w:val="20"/>
          <w:szCs w:val="20"/>
        </w:rPr>
        <w:t>,</w:t>
      </w:r>
      <w:r w:rsidR="00403E03">
        <w:rPr>
          <w:color w:val="000000"/>
          <w:sz w:val="20"/>
          <w:szCs w:val="20"/>
        </w:rPr>
        <w:t xml:space="preserve"> ifade edilebilir.</w:t>
      </w:r>
    </w:p>
    <w:p w:rsidR="005F657D" w:rsidRPr="00F56A0A" w:rsidRDefault="005F657D" w:rsidP="009F1321">
      <w:pPr>
        <w:spacing w:before="120" w:after="120"/>
        <w:rPr>
          <w:b/>
          <w:sz w:val="18"/>
          <w:szCs w:val="18"/>
        </w:rPr>
      </w:pPr>
      <w:r w:rsidRPr="00F56A0A">
        <w:rPr>
          <w:b/>
          <w:sz w:val="18"/>
          <w:szCs w:val="18"/>
        </w:rPr>
        <w:lastRenderedPageBreak/>
        <w:t xml:space="preserve">KAYNAKÇA </w:t>
      </w:r>
    </w:p>
    <w:p w:rsidR="0053576E" w:rsidRPr="00330146" w:rsidRDefault="0053576E" w:rsidP="009F1321">
      <w:pPr>
        <w:spacing w:before="120" w:after="120"/>
        <w:jc w:val="both"/>
        <w:rPr>
          <w:sz w:val="18"/>
          <w:szCs w:val="18"/>
        </w:rPr>
      </w:pPr>
      <w:r w:rsidRPr="00330146">
        <w:rPr>
          <w:sz w:val="18"/>
          <w:szCs w:val="18"/>
        </w:rPr>
        <w:t>Aaker, D.A.</w:t>
      </w:r>
      <w:r w:rsidR="00613DAF" w:rsidRPr="00330146">
        <w:rPr>
          <w:sz w:val="18"/>
          <w:szCs w:val="18"/>
        </w:rPr>
        <w:t xml:space="preserve"> </w:t>
      </w:r>
      <w:r w:rsidR="00092F8B" w:rsidRPr="00330146">
        <w:rPr>
          <w:sz w:val="18"/>
          <w:szCs w:val="18"/>
        </w:rPr>
        <w:t>“</w:t>
      </w:r>
      <w:r w:rsidR="00613DAF" w:rsidRPr="00330146">
        <w:rPr>
          <w:sz w:val="18"/>
          <w:szCs w:val="18"/>
        </w:rPr>
        <w:t>Brand Extensions: The Good, The Bad and the Ugly</w:t>
      </w:r>
      <w:r w:rsidR="00092F8B" w:rsidRPr="00330146">
        <w:rPr>
          <w:sz w:val="18"/>
          <w:szCs w:val="18"/>
        </w:rPr>
        <w:t>”, Journal of Management Review, Vol.31, No.4,</w:t>
      </w:r>
      <w:r w:rsidR="00613DAF" w:rsidRPr="00330146">
        <w:rPr>
          <w:sz w:val="18"/>
          <w:szCs w:val="18"/>
        </w:rPr>
        <w:t xml:space="preserve"> </w:t>
      </w:r>
      <w:r w:rsidR="00151981" w:rsidRPr="00330146">
        <w:rPr>
          <w:sz w:val="18"/>
          <w:szCs w:val="18"/>
        </w:rPr>
        <w:t>1990</w:t>
      </w:r>
      <w:r w:rsidR="00092F8B" w:rsidRPr="00330146">
        <w:rPr>
          <w:sz w:val="18"/>
          <w:szCs w:val="18"/>
        </w:rPr>
        <w:t>, s.1-8</w:t>
      </w:r>
      <w:r w:rsidR="00151981" w:rsidRPr="00330146">
        <w:rPr>
          <w:sz w:val="18"/>
          <w:szCs w:val="18"/>
        </w:rPr>
        <w:t>.</w:t>
      </w:r>
    </w:p>
    <w:p w:rsidR="008B39E8" w:rsidRPr="00330146" w:rsidRDefault="008B39E8" w:rsidP="009F1321">
      <w:pPr>
        <w:spacing w:before="120" w:after="120"/>
        <w:jc w:val="both"/>
        <w:rPr>
          <w:sz w:val="18"/>
          <w:szCs w:val="18"/>
        </w:rPr>
      </w:pPr>
      <w:r w:rsidRPr="00330146">
        <w:rPr>
          <w:sz w:val="18"/>
          <w:szCs w:val="18"/>
        </w:rPr>
        <w:t xml:space="preserve">Aaker, D.A. Managing Brand Equity: Capitalizing on the Value of a Brand Name, </w:t>
      </w:r>
      <w:r w:rsidR="00092F8B" w:rsidRPr="00330146">
        <w:rPr>
          <w:sz w:val="18"/>
          <w:szCs w:val="18"/>
        </w:rPr>
        <w:t xml:space="preserve">Free Press, </w:t>
      </w:r>
      <w:r w:rsidRPr="00330146">
        <w:rPr>
          <w:sz w:val="18"/>
          <w:szCs w:val="18"/>
        </w:rPr>
        <w:t>New York, 1991.</w:t>
      </w:r>
    </w:p>
    <w:p w:rsidR="008B39E8" w:rsidRPr="00330146" w:rsidRDefault="008B39E8" w:rsidP="009F1321">
      <w:pPr>
        <w:spacing w:before="120" w:after="120"/>
        <w:jc w:val="both"/>
        <w:rPr>
          <w:sz w:val="18"/>
          <w:szCs w:val="18"/>
        </w:rPr>
      </w:pPr>
      <w:r w:rsidRPr="00330146">
        <w:rPr>
          <w:sz w:val="18"/>
          <w:szCs w:val="18"/>
        </w:rPr>
        <w:t xml:space="preserve">Aaker, D.A. </w:t>
      </w:r>
      <w:r w:rsidR="00092F8B" w:rsidRPr="00330146">
        <w:rPr>
          <w:sz w:val="18"/>
          <w:szCs w:val="18"/>
        </w:rPr>
        <w:t>“</w:t>
      </w:r>
      <w:r w:rsidRPr="00330146">
        <w:rPr>
          <w:sz w:val="18"/>
          <w:szCs w:val="18"/>
        </w:rPr>
        <w:t>Measuring Brand Equity Across Products and Markets</w:t>
      </w:r>
      <w:r w:rsidR="00092F8B" w:rsidRPr="00330146">
        <w:rPr>
          <w:sz w:val="18"/>
          <w:szCs w:val="18"/>
        </w:rPr>
        <w:t>”,</w:t>
      </w:r>
      <w:r w:rsidRPr="00330146">
        <w:rPr>
          <w:sz w:val="18"/>
          <w:szCs w:val="18"/>
        </w:rPr>
        <w:t xml:space="preserve"> California Management Review, </w:t>
      </w:r>
      <w:r w:rsidR="00092F8B" w:rsidRPr="00330146">
        <w:rPr>
          <w:sz w:val="18"/>
          <w:szCs w:val="18"/>
        </w:rPr>
        <w:t xml:space="preserve">38 (3), </w:t>
      </w:r>
      <w:r w:rsidRPr="00330146">
        <w:rPr>
          <w:sz w:val="18"/>
          <w:szCs w:val="18"/>
        </w:rPr>
        <w:t xml:space="preserve">1996, </w:t>
      </w:r>
      <w:r w:rsidR="00092F8B" w:rsidRPr="00330146">
        <w:rPr>
          <w:sz w:val="18"/>
          <w:szCs w:val="18"/>
        </w:rPr>
        <w:t>s.</w:t>
      </w:r>
      <w:r w:rsidRPr="00330146">
        <w:rPr>
          <w:sz w:val="18"/>
          <w:szCs w:val="18"/>
        </w:rPr>
        <w:t>102-</w:t>
      </w:r>
      <w:r w:rsidR="00E93FD2" w:rsidRPr="00330146">
        <w:rPr>
          <w:sz w:val="18"/>
          <w:szCs w:val="18"/>
        </w:rPr>
        <w:t>1</w:t>
      </w:r>
      <w:r w:rsidRPr="00330146">
        <w:rPr>
          <w:sz w:val="18"/>
          <w:szCs w:val="18"/>
        </w:rPr>
        <w:t>20.</w:t>
      </w:r>
    </w:p>
    <w:p w:rsidR="00151981" w:rsidRPr="00330146" w:rsidRDefault="00151981" w:rsidP="009F1321">
      <w:pPr>
        <w:spacing w:before="120" w:after="120"/>
        <w:jc w:val="both"/>
        <w:rPr>
          <w:sz w:val="18"/>
          <w:szCs w:val="18"/>
        </w:rPr>
      </w:pPr>
      <w:r w:rsidRPr="00330146">
        <w:rPr>
          <w:sz w:val="18"/>
          <w:szCs w:val="18"/>
        </w:rPr>
        <w:t>Aaker, D.A. Marka Değeri Yönetimi, MediaCat Yayınları, İstanbul, 2009.</w:t>
      </w:r>
    </w:p>
    <w:p w:rsidR="008B39E8" w:rsidRPr="00330146" w:rsidRDefault="008B39E8" w:rsidP="009F1321">
      <w:pPr>
        <w:spacing w:before="120" w:after="120"/>
        <w:jc w:val="both"/>
        <w:rPr>
          <w:sz w:val="18"/>
          <w:szCs w:val="18"/>
        </w:rPr>
      </w:pPr>
      <w:r w:rsidRPr="00330146">
        <w:rPr>
          <w:sz w:val="18"/>
          <w:szCs w:val="18"/>
        </w:rPr>
        <w:t xml:space="preserve">Chang, H.H. ve Liu, Y.M. </w:t>
      </w:r>
      <w:r w:rsidR="00120C14" w:rsidRPr="00330146">
        <w:rPr>
          <w:sz w:val="18"/>
          <w:szCs w:val="18"/>
        </w:rPr>
        <w:t>“</w:t>
      </w:r>
      <w:r w:rsidRPr="00330146">
        <w:rPr>
          <w:sz w:val="18"/>
          <w:szCs w:val="18"/>
        </w:rPr>
        <w:t>The Impact of Brand Equity on Brand Preference and Purchase Intention in the Services Industries</w:t>
      </w:r>
      <w:r w:rsidR="00120C14" w:rsidRPr="00330146">
        <w:rPr>
          <w:sz w:val="18"/>
          <w:szCs w:val="18"/>
        </w:rPr>
        <w:t>”</w:t>
      </w:r>
      <w:r w:rsidR="00092F8B" w:rsidRPr="00330146">
        <w:rPr>
          <w:sz w:val="18"/>
          <w:szCs w:val="18"/>
        </w:rPr>
        <w:t>,</w:t>
      </w:r>
      <w:r w:rsidRPr="00330146">
        <w:rPr>
          <w:sz w:val="18"/>
          <w:szCs w:val="18"/>
        </w:rPr>
        <w:t xml:space="preserve"> The Service Industries Journal, Vol.29, No.12, </w:t>
      </w:r>
      <w:r w:rsidR="00120C14" w:rsidRPr="00330146">
        <w:rPr>
          <w:sz w:val="18"/>
          <w:szCs w:val="18"/>
        </w:rPr>
        <w:t>2009, s.</w:t>
      </w:r>
      <w:r w:rsidRPr="00330146">
        <w:rPr>
          <w:sz w:val="18"/>
          <w:szCs w:val="18"/>
        </w:rPr>
        <w:t>1687-1706.</w:t>
      </w:r>
    </w:p>
    <w:p w:rsidR="000F7B98" w:rsidRPr="00330146" w:rsidRDefault="000F7B98" w:rsidP="009F1321">
      <w:pPr>
        <w:spacing w:before="120" w:after="120"/>
        <w:jc w:val="both"/>
        <w:rPr>
          <w:sz w:val="18"/>
          <w:szCs w:val="18"/>
        </w:rPr>
      </w:pPr>
      <w:r w:rsidRPr="00330146">
        <w:rPr>
          <w:sz w:val="18"/>
          <w:szCs w:val="18"/>
        </w:rPr>
        <w:t xml:space="preserve">Chen, C. ve Chang, Y. “Airline Brand Equity, Brand Preference and Purchase Intentions </w:t>
      </w:r>
      <w:r w:rsidR="00C96AC1">
        <w:rPr>
          <w:sz w:val="18"/>
          <w:szCs w:val="18"/>
        </w:rPr>
        <w:t>-</w:t>
      </w:r>
      <w:r w:rsidRPr="00330146">
        <w:rPr>
          <w:sz w:val="18"/>
          <w:szCs w:val="18"/>
        </w:rPr>
        <w:t xml:space="preserve"> The Moderating Effects of Switching Cost”, Journal of Air Transport Management, 14, 2008, s.40-42.</w:t>
      </w:r>
    </w:p>
    <w:p w:rsidR="00ED4D06" w:rsidRPr="00330146" w:rsidRDefault="00ED4D06" w:rsidP="009F1321">
      <w:pPr>
        <w:spacing w:before="120" w:after="120"/>
        <w:jc w:val="both"/>
        <w:rPr>
          <w:sz w:val="18"/>
          <w:szCs w:val="18"/>
        </w:rPr>
      </w:pPr>
      <w:r w:rsidRPr="00330146">
        <w:rPr>
          <w:sz w:val="18"/>
          <w:szCs w:val="18"/>
        </w:rPr>
        <w:t>Erdil, T.S. ve Uzun, Y. Marka Olmak</w:t>
      </w:r>
      <w:r w:rsidR="00D77886" w:rsidRPr="00330146">
        <w:rPr>
          <w:sz w:val="18"/>
          <w:szCs w:val="18"/>
        </w:rPr>
        <w:t>,</w:t>
      </w:r>
      <w:r w:rsidRPr="00330146">
        <w:rPr>
          <w:sz w:val="18"/>
          <w:szCs w:val="18"/>
        </w:rPr>
        <w:t xml:space="preserve"> (2.Baskı)</w:t>
      </w:r>
      <w:r w:rsidR="00D77886" w:rsidRPr="00330146">
        <w:rPr>
          <w:sz w:val="18"/>
          <w:szCs w:val="18"/>
        </w:rPr>
        <w:t>,</w:t>
      </w:r>
      <w:r w:rsidRPr="00330146">
        <w:rPr>
          <w:sz w:val="18"/>
          <w:szCs w:val="18"/>
        </w:rPr>
        <w:t xml:space="preserve"> İstanbul: Beta Yayınları, 2010.</w:t>
      </w:r>
    </w:p>
    <w:p w:rsidR="00ED4D06" w:rsidRPr="00330146" w:rsidRDefault="00ED4D06" w:rsidP="009F1321">
      <w:pPr>
        <w:spacing w:before="120" w:after="120"/>
        <w:jc w:val="both"/>
        <w:rPr>
          <w:sz w:val="18"/>
          <w:szCs w:val="18"/>
        </w:rPr>
      </w:pPr>
      <w:r w:rsidRPr="00330146">
        <w:rPr>
          <w:sz w:val="18"/>
          <w:szCs w:val="18"/>
        </w:rPr>
        <w:t xml:space="preserve">Farquar, P.H. </w:t>
      </w:r>
      <w:r w:rsidR="00D6763B" w:rsidRPr="00330146">
        <w:rPr>
          <w:sz w:val="18"/>
          <w:szCs w:val="18"/>
        </w:rPr>
        <w:t>“</w:t>
      </w:r>
      <w:r w:rsidRPr="00330146">
        <w:rPr>
          <w:sz w:val="18"/>
          <w:szCs w:val="18"/>
        </w:rPr>
        <w:t>Managing Brand Equity</w:t>
      </w:r>
      <w:r w:rsidR="00D6763B" w:rsidRPr="00330146">
        <w:rPr>
          <w:sz w:val="18"/>
          <w:szCs w:val="18"/>
        </w:rPr>
        <w:t>”,</w:t>
      </w:r>
      <w:r w:rsidRPr="00330146">
        <w:rPr>
          <w:sz w:val="18"/>
          <w:szCs w:val="18"/>
        </w:rPr>
        <w:t xml:space="preserve"> Journal of Marketing Research</w:t>
      </w:r>
      <w:r w:rsidR="00D6763B" w:rsidRPr="00330146">
        <w:rPr>
          <w:sz w:val="18"/>
          <w:szCs w:val="18"/>
        </w:rPr>
        <w:t>,</w:t>
      </w:r>
      <w:r w:rsidRPr="00330146">
        <w:rPr>
          <w:sz w:val="18"/>
          <w:szCs w:val="18"/>
        </w:rPr>
        <w:t xml:space="preserve"> Septemper, 1989, </w:t>
      </w:r>
      <w:r w:rsidR="00D6763B" w:rsidRPr="00330146">
        <w:rPr>
          <w:sz w:val="18"/>
          <w:szCs w:val="18"/>
        </w:rPr>
        <w:t>s.</w:t>
      </w:r>
      <w:r w:rsidRPr="00330146">
        <w:rPr>
          <w:sz w:val="18"/>
          <w:szCs w:val="18"/>
        </w:rPr>
        <w:t>24-33.</w:t>
      </w:r>
    </w:p>
    <w:p w:rsidR="008B39E8" w:rsidRPr="00330146" w:rsidRDefault="008B39E8" w:rsidP="009F1321">
      <w:pPr>
        <w:spacing w:before="120" w:after="120"/>
        <w:jc w:val="both"/>
        <w:rPr>
          <w:sz w:val="18"/>
          <w:szCs w:val="18"/>
        </w:rPr>
      </w:pPr>
      <w:r w:rsidRPr="00330146">
        <w:rPr>
          <w:sz w:val="18"/>
          <w:szCs w:val="18"/>
        </w:rPr>
        <w:t>Gil, R.B., Andres, E.F. ve Salina, E.M. “Family as a Source of Consumer-Based Brand Equity”</w:t>
      </w:r>
      <w:r w:rsidR="00D6763B" w:rsidRPr="00330146">
        <w:rPr>
          <w:sz w:val="18"/>
          <w:szCs w:val="18"/>
        </w:rPr>
        <w:t>,</w:t>
      </w:r>
      <w:r w:rsidRPr="00330146">
        <w:rPr>
          <w:sz w:val="18"/>
          <w:szCs w:val="18"/>
        </w:rPr>
        <w:t xml:space="preserve"> The Journal of Product and Brand Management, </w:t>
      </w:r>
      <w:r w:rsidR="00D6763B" w:rsidRPr="00330146">
        <w:rPr>
          <w:sz w:val="18"/>
          <w:szCs w:val="18"/>
        </w:rPr>
        <w:t xml:space="preserve">16 (3), </w:t>
      </w:r>
      <w:r w:rsidRPr="00330146">
        <w:rPr>
          <w:sz w:val="18"/>
          <w:szCs w:val="18"/>
        </w:rPr>
        <w:t xml:space="preserve">2007, </w:t>
      </w:r>
      <w:r w:rsidR="00D6763B" w:rsidRPr="00330146">
        <w:rPr>
          <w:sz w:val="18"/>
          <w:szCs w:val="18"/>
        </w:rPr>
        <w:t>s.</w:t>
      </w:r>
      <w:r w:rsidRPr="00330146">
        <w:rPr>
          <w:sz w:val="18"/>
          <w:szCs w:val="18"/>
        </w:rPr>
        <w:t>188-199.</w:t>
      </w:r>
    </w:p>
    <w:p w:rsidR="00ED4D06" w:rsidRPr="00330146" w:rsidRDefault="00ED4D06" w:rsidP="009F1321">
      <w:pPr>
        <w:spacing w:before="120" w:after="120"/>
        <w:jc w:val="both"/>
        <w:rPr>
          <w:sz w:val="18"/>
          <w:szCs w:val="18"/>
        </w:rPr>
      </w:pPr>
      <w:r w:rsidRPr="00330146">
        <w:rPr>
          <w:sz w:val="18"/>
          <w:szCs w:val="18"/>
        </w:rPr>
        <w:t>Hutton, J.G. A Theoretical Framework for the Study of Brand Equity and a Test of Brand Sensivity in an Organizational Buying Context</w:t>
      </w:r>
      <w:r w:rsidR="00D6763B" w:rsidRPr="00330146">
        <w:rPr>
          <w:sz w:val="18"/>
          <w:szCs w:val="18"/>
        </w:rPr>
        <w:t>,</w:t>
      </w:r>
      <w:r w:rsidRPr="00330146">
        <w:rPr>
          <w:sz w:val="18"/>
          <w:szCs w:val="18"/>
        </w:rPr>
        <w:t xml:space="preserve"> Degree of Doctor Philosophy, University of Texas at Austin, 1993.</w:t>
      </w:r>
    </w:p>
    <w:p w:rsidR="00ED4D06" w:rsidRPr="00330146" w:rsidRDefault="00ED4D06" w:rsidP="009F1321">
      <w:pPr>
        <w:spacing w:before="120" w:after="120"/>
        <w:jc w:val="both"/>
        <w:rPr>
          <w:sz w:val="18"/>
          <w:szCs w:val="18"/>
        </w:rPr>
      </w:pPr>
      <w:r w:rsidRPr="00330146">
        <w:rPr>
          <w:sz w:val="18"/>
          <w:szCs w:val="18"/>
        </w:rPr>
        <w:t xml:space="preserve">Kavas, A. </w:t>
      </w:r>
      <w:r w:rsidR="00D6763B" w:rsidRPr="00330146">
        <w:rPr>
          <w:sz w:val="18"/>
          <w:szCs w:val="18"/>
        </w:rPr>
        <w:t>“</w:t>
      </w:r>
      <w:r w:rsidRPr="00330146">
        <w:rPr>
          <w:sz w:val="18"/>
          <w:szCs w:val="18"/>
        </w:rPr>
        <w:t>Marka Değeri Yaratma</w:t>
      </w:r>
      <w:r w:rsidR="00D6763B" w:rsidRPr="00330146">
        <w:rPr>
          <w:sz w:val="18"/>
          <w:szCs w:val="18"/>
        </w:rPr>
        <w:t>”,</w:t>
      </w:r>
      <w:r w:rsidRPr="00330146">
        <w:rPr>
          <w:sz w:val="18"/>
          <w:szCs w:val="18"/>
        </w:rPr>
        <w:t xml:space="preserve"> Pazarlama İletişim ve Kültürü Dergisi, Cilt.3, Sayı.8</w:t>
      </w:r>
      <w:r w:rsidR="00D6763B" w:rsidRPr="00330146">
        <w:rPr>
          <w:sz w:val="18"/>
          <w:szCs w:val="18"/>
        </w:rPr>
        <w:t>,</w:t>
      </w:r>
      <w:r w:rsidRPr="00330146">
        <w:rPr>
          <w:sz w:val="18"/>
          <w:szCs w:val="18"/>
        </w:rPr>
        <w:t xml:space="preserve"> </w:t>
      </w:r>
      <w:r w:rsidR="00D6763B" w:rsidRPr="00330146">
        <w:rPr>
          <w:sz w:val="18"/>
          <w:szCs w:val="18"/>
        </w:rPr>
        <w:t>2004, s.</w:t>
      </w:r>
      <w:r w:rsidRPr="00330146">
        <w:rPr>
          <w:sz w:val="18"/>
          <w:szCs w:val="18"/>
        </w:rPr>
        <w:t>16-25.</w:t>
      </w:r>
    </w:p>
    <w:p w:rsidR="00FA720C" w:rsidRPr="00330146" w:rsidRDefault="00FA720C" w:rsidP="009F1321">
      <w:pPr>
        <w:spacing w:before="120" w:after="120"/>
        <w:jc w:val="both"/>
        <w:rPr>
          <w:sz w:val="18"/>
          <w:szCs w:val="18"/>
        </w:rPr>
      </w:pPr>
      <w:r w:rsidRPr="00330146">
        <w:rPr>
          <w:sz w:val="18"/>
          <w:szCs w:val="18"/>
        </w:rPr>
        <w:t>Keller, L.K. “Conceptualizing, Measuring and Managing Customer-Based Brand Equity”</w:t>
      </w:r>
      <w:r w:rsidR="00151981" w:rsidRPr="00330146">
        <w:rPr>
          <w:sz w:val="18"/>
          <w:szCs w:val="18"/>
        </w:rPr>
        <w:t>,</w:t>
      </w:r>
      <w:r w:rsidRPr="00330146">
        <w:rPr>
          <w:sz w:val="18"/>
          <w:szCs w:val="18"/>
        </w:rPr>
        <w:t xml:space="preserve"> Journal of Marketing</w:t>
      </w:r>
      <w:r w:rsidR="00151981" w:rsidRPr="00330146">
        <w:rPr>
          <w:sz w:val="18"/>
          <w:szCs w:val="18"/>
        </w:rPr>
        <w:t>,</w:t>
      </w:r>
      <w:r w:rsidRPr="00330146">
        <w:rPr>
          <w:sz w:val="18"/>
          <w:szCs w:val="18"/>
        </w:rPr>
        <w:t xml:space="preserve"> Vol.57</w:t>
      </w:r>
      <w:r w:rsidR="00151981" w:rsidRPr="00330146">
        <w:rPr>
          <w:sz w:val="18"/>
          <w:szCs w:val="18"/>
        </w:rPr>
        <w:t xml:space="preserve">, 1993, </w:t>
      </w:r>
      <w:r w:rsidR="00D6763B" w:rsidRPr="00330146">
        <w:rPr>
          <w:sz w:val="18"/>
          <w:szCs w:val="18"/>
        </w:rPr>
        <w:t>s.</w:t>
      </w:r>
      <w:r w:rsidRPr="00330146">
        <w:rPr>
          <w:sz w:val="18"/>
          <w:szCs w:val="18"/>
        </w:rPr>
        <w:t>1-22.</w:t>
      </w:r>
    </w:p>
    <w:p w:rsidR="006E28A3" w:rsidRPr="00330146" w:rsidRDefault="006E28A3" w:rsidP="009F1321">
      <w:pPr>
        <w:spacing w:before="120" w:after="120"/>
        <w:jc w:val="both"/>
        <w:rPr>
          <w:sz w:val="18"/>
          <w:szCs w:val="18"/>
        </w:rPr>
      </w:pPr>
      <w:r w:rsidRPr="00330146">
        <w:rPr>
          <w:sz w:val="18"/>
          <w:szCs w:val="18"/>
        </w:rPr>
        <w:t>Keller, L.K. Strategic Brand Management: Building, Measuring and Managing Brand Equity</w:t>
      </w:r>
      <w:r w:rsidR="00D6763B" w:rsidRPr="00330146">
        <w:rPr>
          <w:sz w:val="18"/>
          <w:szCs w:val="18"/>
        </w:rPr>
        <w:t>,</w:t>
      </w:r>
      <w:r w:rsidRPr="00330146">
        <w:rPr>
          <w:sz w:val="18"/>
          <w:szCs w:val="18"/>
        </w:rPr>
        <w:t xml:space="preserve"> Upper Saddle River, N.J., Prenti</w:t>
      </w:r>
      <w:r w:rsidR="00151981" w:rsidRPr="00330146">
        <w:rPr>
          <w:sz w:val="18"/>
          <w:szCs w:val="18"/>
        </w:rPr>
        <w:t>ce Hall, 1998.</w:t>
      </w:r>
    </w:p>
    <w:p w:rsidR="008B39E8" w:rsidRPr="00330146" w:rsidRDefault="008B39E8" w:rsidP="009F1321">
      <w:pPr>
        <w:spacing w:before="120" w:after="120"/>
        <w:jc w:val="both"/>
        <w:rPr>
          <w:sz w:val="18"/>
          <w:szCs w:val="18"/>
        </w:rPr>
      </w:pPr>
      <w:r w:rsidRPr="00330146">
        <w:rPr>
          <w:sz w:val="18"/>
          <w:szCs w:val="18"/>
        </w:rPr>
        <w:t>Lassar, W., Mittal, B., Sharma, A. “Measuring Customer-Based Brand Equity”</w:t>
      </w:r>
      <w:r w:rsidR="00D6763B" w:rsidRPr="00330146">
        <w:rPr>
          <w:sz w:val="18"/>
          <w:szCs w:val="18"/>
        </w:rPr>
        <w:t>,</w:t>
      </w:r>
      <w:r w:rsidRPr="00330146">
        <w:rPr>
          <w:sz w:val="18"/>
          <w:szCs w:val="18"/>
        </w:rPr>
        <w:t xml:space="preserve"> Journal of Consumer Marketing, </w:t>
      </w:r>
      <w:r w:rsidR="00D6763B" w:rsidRPr="00330146">
        <w:rPr>
          <w:sz w:val="18"/>
          <w:szCs w:val="18"/>
        </w:rPr>
        <w:t xml:space="preserve">12 (4), </w:t>
      </w:r>
      <w:r w:rsidRPr="00330146">
        <w:rPr>
          <w:sz w:val="18"/>
          <w:szCs w:val="18"/>
        </w:rPr>
        <w:t xml:space="preserve">1995, </w:t>
      </w:r>
      <w:r w:rsidR="00D6763B" w:rsidRPr="00330146">
        <w:rPr>
          <w:sz w:val="18"/>
          <w:szCs w:val="18"/>
        </w:rPr>
        <w:t>s.</w:t>
      </w:r>
      <w:r w:rsidR="000E2C97" w:rsidRPr="00330146">
        <w:rPr>
          <w:sz w:val="18"/>
          <w:szCs w:val="18"/>
        </w:rPr>
        <w:t>4-</w:t>
      </w:r>
      <w:r w:rsidRPr="00330146">
        <w:rPr>
          <w:sz w:val="18"/>
          <w:szCs w:val="18"/>
        </w:rPr>
        <w:t>11.</w:t>
      </w:r>
    </w:p>
    <w:p w:rsidR="005A5A27" w:rsidRPr="00330146" w:rsidRDefault="005A5A27" w:rsidP="009F1321">
      <w:pPr>
        <w:spacing w:before="120" w:after="120"/>
        <w:jc w:val="both"/>
        <w:rPr>
          <w:sz w:val="18"/>
          <w:szCs w:val="18"/>
        </w:rPr>
      </w:pPr>
      <w:r w:rsidRPr="00330146">
        <w:rPr>
          <w:sz w:val="18"/>
          <w:szCs w:val="18"/>
        </w:rPr>
        <w:t xml:space="preserve">Loudon, D. </w:t>
      </w:r>
      <w:r w:rsidR="005659D0" w:rsidRPr="00330146">
        <w:rPr>
          <w:sz w:val="18"/>
          <w:szCs w:val="18"/>
        </w:rPr>
        <w:t>ve</w:t>
      </w:r>
      <w:r w:rsidRPr="00330146">
        <w:rPr>
          <w:sz w:val="18"/>
          <w:szCs w:val="18"/>
        </w:rPr>
        <w:t xml:space="preserve"> Bitta, A.J.D. Consumer Behavior: Concepts and Applications, McGraw Hill, New York, USA, 1993.</w:t>
      </w:r>
    </w:p>
    <w:p w:rsidR="00752C45" w:rsidRPr="00330146" w:rsidRDefault="00752C45" w:rsidP="009F1321">
      <w:pPr>
        <w:spacing w:before="120" w:after="120"/>
        <w:jc w:val="both"/>
        <w:rPr>
          <w:sz w:val="18"/>
          <w:szCs w:val="18"/>
        </w:rPr>
      </w:pPr>
      <w:r w:rsidRPr="00330146">
        <w:rPr>
          <w:sz w:val="18"/>
          <w:szCs w:val="18"/>
        </w:rPr>
        <w:t>Moradi, H. ve Zarei, A. “The Impact of Brand Equity on Purchase Intention and Brand Preference</w:t>
      </w:r>
      <w:r w:rsidR="000E2C97" w:rsidRPr="00330146">
        <w:rPr>
          <w:sz w:val="18"/>
          <w:szCs w:val="18"/>
        </w:rPr>
        <w:t xml:space="preserve"> - T</w:t>
      </w:r>
      <w:r w:rsidRPr="00330146">
        <w:rPr>
          <w:sz w:val="18"/>
          <w:szCs w:val="18"/>
        </w:rPr>
        <w:t>he Moderating Effects of Country of Origin Image”, Austrailan Journal of Basic and Applied Sciences, 5 (3), 2011, s.539-545.</w:t>
      </w:r>
    </w:p>
    <w:p w:rsidR="008B39E8" w:rsidRPr="00330146" w:rsidRDefault="008B39E8" w:rsidP="009F1321">
      <w:pPr>
        <w:spacing w:before="120" w:after="120"/>
        <w:jc w:val="both"/>
        <w:rPr>
          <w:sz w:val="18"/>
          <w:szCs w:val="18"/>
        </w:rPr>
      </w:pPr>
      <w:r w:rsidRPr="00330146">
        <w:rPr>
          <w:sz w:val="18"/>
          <w:szCs w:val="18"/>
        </w:rPr>
        <w:t>Netemeyer, R., Krishnan, B., Pulling, C., Wang, G., Yagci, M., Dean, D., Ricks J.</w:t>
      </w:r>
      <w:r w:rsidR="00C44B88" w:rsidRPr="00330146">
        <w:rPr>
          <w:sz w:val="18"/>
          <w:szCs w:val="18"/>
        </w:rPr>
        <w:t xml:space="preserve"> ve</w:t>
      </w:r>
      <w:r w:rsidRPr="00330146">
        <w:rPr>
          <w:sz w:val="18"/>
          <w:szCs w:val="18"/>
        </w:rPr>
        <w:t xml:space="preserve"> Wirth, F. “Devoloping and Validating Measures of Facets of Customer-Based Brand Equity”</w:t>
      </w:r>
      <w:r w:rsidR="00E81EAA" w:rsidRPr="00330146">
        <w:rPr>
          <w:sz w:val="18"/>
          <w:szCs w:val="18"/>
        </w:rPr>
        <w:t>,</w:t>
      </w:r>
      <w:r w:rsidRPr="00330146">
        <w:rPr>
          <w:sz w:val="18"/>
          <w:szCs w:val="18"/>
        </w:rPr>
        <w:t xml:space="preserve"> Journal of Business Research, </w:t>
      </w:r>
      <w:r w:rsidR="00E81EAA" w:rsidRPr="00330146">
        <w:rPr>
          <w:sz w:val="18"/>
          <w:szCs w:val="18"/>
        </w:rPr>
        <w:t xml:space="preserve">57, </w:t>
      </w:r>
      <w:r w:rsidRPr="00330146">
        <w:rPr>
          <w:sz w:val="18"/>
          <w:szCs w:val="18"/>
        </w:rPr>
        <w:t xml:space="preserve">2004, </w:t>
      </w:r>
      <w:r w:rsidR="00E81EAA" w:rsidRPr="00330146">
        <w:rPr>
          <w:sz w:val="18"/>
          <w:szCs w:val="18"/>
        </w:rPr>
        <w:t>s.</w:t>
      </w:r>
      <w:r w:rsidRPr="00330146">
        <w:rPr>
          <w:sz w:val="18"/>
          <w:szCs w:val="18"/>
        </w:rPr>
        <w:t>209-</w:t>
      </w:r>
      <w:r w:rsidR="00E81EAA" w:rsidRPr="00330146">
        <w:rPr>
          <w:sz w:val="18"/>
          <w:szCs w:val="18"/>
        </w:rPr>
        <w:t>2</w:t>
      </w:r>
      <w:r w:rsidRPr="00330146">
        <w:rPr>
          <w:sz w:val="18"/>
          <w:szCs w:val="18"/>
        </w:rPr>
        <w:t>24.</w:t>
      </w:r>
    </w:p>
    <w:p w:rsidR="00ED4D06" w:rsidRPr="00330146" w:rsidRDefault="00ED4D06" w:rsidP="009F1321">
      <w:pPr>
        <w:spacing w:before="120" w:after="120"/>
        <w:jc w:val="both"/>
        <w:rPr>
          <w:sz w:val="18"/>
          <w:szCs w:val="18"/>
        </w:rPr>
      </w:pPr>
      <w:r w:rsidRPr="00330146">
        <w:rPr>
          <w:sz w:val="18"/>
          <w:szCs w:val="18"/>
        </w:rPr>
        <w:t>Odabaşı, Y. ve Oyman, M. Pazarlama İletişim Yönetimi</w:t>
      </w:r>
      <w:r w:rsidR="00D77886" w:rsidRPr="00330146">
        <w:rPr>
          <w:sz w:val="18"/>
          <w:szCs w:val="18"/>
        </w:rPr>
        <w:t>,</w:t>
      </w:r>
      <w:r w:rsidRPr="00330146">
        <w:rPr>
          <w:sz w:val="18"/>
          <w:szCs w:val="18"/>
        </w:rPr>
        <w:t xml:space="preserve"> (7.Baskı)</w:t>
      </w:r>
      <w:r w:rsidR="00D77886" w:rsidRPr="00330146">
        <w:rPr>
          <w:sz w:val="18"/>
          <w:szCs w:val="18"/>
        </w:rPr>
        <w:t>,</w:t>
      </w:r>
      <w:r w:rsidRPr="00330146">
        <w:rPr>
          <w:sz w:val="18"/>
          <w:szCs w:val="18"/>
        </w:rPr>
        <w:t xml:space="preserve"> İstanbul: MediaCat Yayınları, 2007.</w:t>
      </w:r>
    </w:p>
    <w:p w:rsidR="00AD0528" w:rsidRPr="00330146" w:rsidRDefault="00AD0528" w:rsidP="009F1321">
      <w:pPr>
        <w:spacing w:before="120" w:after="120"/>
        <w:jc w:val="both"/>
        <w:rPr>
          <w:sz w:val="18"/>
          <w:szCs w:val="18"/>
        </w:rPr>
      </w:pPr>
      <w:r w:rsidRPr="00330146">
        <w:rPr>
          <w:sz w:val="18"/>
          <w:szCs w:val="18"/>
        </w:rPr>
        <w:t>Oliver, R.N. Value as Excellence in the Consumption Exprience, in Holbrokk, M.B. (e.d) Consumer Value: A Framework for Analysis and Research Routledgee, London, England, 1999.</w:t>
      </w:r>
    </w:p>
    <w:p w:rsidR="008B39E8" w:rsidRPr="00330146" w:rsidRDefault="008B39E8" w:rsidP="009F1321">
      <w:pPr>
        <w:spacing w:before="120" w:after="120"/>
        <w:jc w:val="both"/>
        <w:rPr>
          <w:sz w:val="18"/>
          <w:szCs w:val="18"/>
        </w:rPr>
      </w:pPr>
      <w:r w:rsidRPr="00330146">
        <w:rPr>
          <w:sz w:val="18"/>
          <w:szCs w:val="18"/>
        </w:rPr>
        <w:t>Pappu, R., Quester, P.G.</w:t>
      </w:r>
      <w:r w:rsidR="00036FE6" w:rsidRPr="00330146">
        <w:rPr>
          <w:sz w:val="18"/>
          <w:szCs w:val="18"/>
        </w:rPr>
        <w:t xml:space="preserve"> ve</w:t>
      </w:r>
      <w:r w:rsidRPr="00330146">
        <w:rPr>
          <w:sz w:val="18"/>
          <w:szCs w:val="18"/>
        </w:rPr>
        <w:t xml:space="preserve"> Cooksey, R.W. “Consumer-Based Brand Equity: Improving the Measurement, Empirical Evidence”</w:t>
      </w:r>
      <w:r w:rsidR="00E81EAA" w:rsidRPr="00330146">
        <w:rPr>
          <w:sz w:val="18"/>
          <w:szCs w:val="18"/>
        </w:rPr>
        <w:t>,</w:t>
      </w:r>
      <w:r w:rsidRPr="00330146">
        <w:rPr>
          <w:sz w:val="18"/>
          <w:szCs w:val="18"/>
        </w:rPr>
        <w:t xml:space="preserve"> The Journal of Product and Brand Management, </w:t>
      </w:r>
      <w:r w:rsidR="00E81EAA" w:rsidRPr="00330146">
        <w:rPr>
          <w:sz w:val="18"/>
          <w:szCs w:val="18"/>
        </w:rPr>
        <w:t xml:space="preserve">14 (3), </w:t>
      </w:r>
      <w:r w:rsidRPr="00330146">
        <w:rPr>
          <w:sz w:val="18"/>
          <w:szCs w:val="18"/>
        </w:rPr>
        <w:t xml:space="preserve">2005, </w:t>
      </w:r>
      <w:r w:rsidR="00E81EAA" w:rsidRPr="00330146">
        <w:rPr>
          <w:sz w:val="18"/>
          <w:szCs w:val="18"/>
        </w:rPr>
        <w:t>s.</w:t>
      </w:r>
      <w:r w:rsidRPr="00330146">
        <w:rPr>
          <w:sz w:val="18"/>
          <w:szCs w:val="18"/>
        </w:rPr>
        <w:t>143-</w:t>
      </w:r>
      <w:r w:rsidR="00F83B33" w:rsidRPr="00330146">
        <w:rPr>
          <w:sz w:val="18"/>
          <w:szCs w:val="18"/>
        </w:rPr>
        <w:t>1</w:t>
      </w:r>
      <w:r w:rsidRPr="00330146">
        <w:rPr>
          <w:sz w:val="18"/>
          <w:szCs w:val="18"/>
        </w:rPr>
        <w:t>54.</w:t>
      </w:r>
    </w:p>
    <w:p w:rsidR="008B39E8" w:rsidRPr="00330146" w:rsidRDefault="008B39E8" w:rsidP="009F1321">
      <w:pPr>
        <w:spacing w:before="120" w:after="120"/>
        <w:jc w:val="both"/>
        <w:rPr>
          <w:sz w:val="18"/>
          <w:szCs w:val="18"/>
        </w:rPr>
      </w:pPr>
      <w:r w:rsidRPr="00330146">
        <w:rPr>
          <w:sz w:val="18"/>
          <w:szCs w:val="18"/>
        </w:rPr>
        <w:t>Pappu, R., Quester, P.G.</w:t>
      </w:r>
      <w:r w:rsidR="00036FE6" w:rsidRPr="00330146">
        <w:rPr>
          <w:sz w:val="18"/>
          <w:szCs w:val="18"/>
        </w:rPr>
        <w:t xml:space="preserve"> ve</w:t>
      </w:r>
      <w:r w:rsidRPr="00330146">
        <w:rPr>
          <w:sz w:val="18"/>
          <w:szCs w:val="18"/>
        </w:rPr>
        <w:t xml:space="preserve"> Cooksey, R.W. “Consumer-Based Brand Equity and Country-of-</w:t>
      </w:r>
      <w:r w:rsidR="00D75B3F" w:rsidRPr="00330146">
        <w:rPr>
          <w:sz w:val="18"/>
          <w:szCs w:val="18"/>
        </w:rPr>
        <w:t>O</w:t>
      </w:r>
      <w:r w:rsidRPr="00330146">
        <w:rPr>
          <w:sz w:val="18"/>
          <w:szCs w:val="18"/>
        </w:rPr>
        <w:t>rigin Relationships”</w:t>
      </w:r>
      <w:r w:rsidR="00E81EAA" w:rsidRPr="00330146">
        <w:rPr>
          <w:sz w:val="18"/>
          <w:szCs w:val="18"/>
        </w:rPr>
        <w:t>,</w:t>
      </w:r>
      <w:r w:rsidRPr="00330146">
        <w:rPr>
          <w:sz w:val="18"/>
          <w:szCs w:val="18"/>
        </w:rPr>
        <w:t xml:space="preserve"> European Journal of Marketing, </w:t>
      </w:r>
      <w:r w:rsidR="00E81EAA" w:rsidRPr="00330146">
        <w:rPr>
          <w:sz w:val="18"/>
          <w:szCs w:val="18"/>
        </w:rPr>
        <w:t xml:space="preserve">40 (5/6), </w:t>
      </w:r>
      <w:r w:rsidRPr="00330146">
        <w:rPr>
          <w:sz w:val="18"/>
          <w:szCs w:val="18"/>
        </w:rPr>
        <w:t xml:space="preserve">2006, </w:t>
      </w:r>
      <w:r w:rsidR="00E81EAA" w:rsidRPr="00330146">
        <w:rPr>
          <w:sz w:val="18"/>
          <w:szCs w:val="18"/>
        </w:rPr>
        <w:t>s.</w:t>
      </w:r>
      <w:r w:rsidRPr="00330146">
        <w:rPr>
          <w:sz w:val="18"/>
          <w:szCs w:val="18"/>
        </w:rPr>
        <w:t>696-717.</w:t>
      </w:r>
    </w:p>
    <w:p w:rsidR="00ED4D06" w:rsidRPr="00330146" w:rsidRDefault="00ED4D06" w:rsidP="009F1321">
      <w:pPr>
        <w:spacing w:before="120" w:after="120"/>
        <w:jc w:val="both"/>
        <w:rPr>
          <w:sz w:val="18"/>
          <w:szCs w:val="18"/>
        </w:rPr>
      </w:pPr>
      <w:r w:rsidRPr="00330146">
        <w:rPr>
          <w:sz w:val="18"/>
          <w:szCs w:val="18"/>
        </w:rPr>
        <w:t xml:space="preserve">Park, C.S. ve Srinivasan, V. </w:t>
      </w:r>
      <w:r w:rsidR="00E81EAA" w:rsidRPr="00330146">
        <w:rPr>
          <w:sz w:val="18"/>
          <w:szCs w:val="18"/>
        </w:rPr>
        <w:t>“</w:t>
      </w:r>
      <w:r w:rsidRPr="00330146">
        <w:rPr>
          <w:sz w:val="18"/>
          <w:szCs w:val="18"/>
        </w:rPr>
        <w:t>A Survey Based Method for Measuring and Understanding Brand Equity and It’s Extendability</w:t>
      </w:r>
      <w:r w:rsidR="00E81EAA" w:rsidRPr="00330146">
        <w:rPr>
          <w:sz w:val="18"/>
          <w:szCs w:val="18"/>
        </w:rPr>
        <w:t>”,</w:t>
      </w:r>
      <w:r w:rsidRPr="00330146">
        <w:rPr>
          <w:sz w:val="18"/>
          <w:szCs w:val="18"/>
        </w:rPr>
        <w:t xml:space="preserve"> Journal of Marketing Research, </w:t>
      </w:r>
      <w:r w:rsidR="00E81EAA" w:rsidRPr="00330146">
        <w:rPr>
          <w:sz w:val="18"/>
          <w:szCs w:val="18"/>
        </w:rPr>
        <w:t xml:space="preserve">Vol.31, </w:t>
      </w:r>
      <w:r w:rsidRPr="00330146">
        <w:rPr>
          <w:sz w:val="18"/>
          <w:szCs w:val="18"/>
        </w:rPr>
        <w:t>1994,</w:t>
      </w:r>
      <w:r w:rsidR="00E81EAA" w:rsidRPr="00330146">
        <w:rPr>
          <w:sz w:val="18"/>
          <w:szCs w:val="18"/>
        </w:rPr>
        <w:t xml:space="preserve"> s.</w:t>
      </w:r>
      <w:r w:rsidRPr="00330146">
        <w:rPr>
          <w:sz w:val="18"/>
          <w:szCs w:val="18"/>
        </w:rPr>
        <w:t>271-288.</w:t>
      </w:r>
    </w:p>
    <w:p w:rsidR="00ED4D06" w:rsidRPr="00330146" w:rsidRDefault="00ED4D06" w:rsidP="009F1321">
      <w:pPr>
        <w:spacing w:before="120" w:after="120"/>
        <w:jc w:val="both"/>
        <w:rPr>
          <w:sz w:val="18"/>
          <w:szCs w:val="18"/>
        </w:rPr>
      </w:pPr>
      <w:r w:rsidRPr="00330146">
        <w:rPr>
          <w:sz w:val="18"/>
          <w:szCs w:val="18"/>
        </w:rPr>
        <w:t xml:space="preserve">Swait, J., Erdem, T., Louviere, J. ve Dubelaar, C. </w:t>
      </w:r>
      <w:r w:rsidR="00E81EAA" w:rsidRPr="00330146">
        <w:rPr>
          <w:sz w:val="18"/>
          <w:szCs w:val="18"/>
        </w:rPr>
        <w:t>“</w:t>
      </w:r>
      <w:r w:rsidRPr="00330146">
        <w:rPr>
          <w:sz w:val="18"/>
          <w:szCs w:val="18"/>
        </w:rPr>
        <w:t xml:space="preserve">The Equalization Price: A Measure of Consumer </w:t>
      </w:r>
      <w:r w:rsidR="00E81EAA" w:rsidRPr="00330146">
        <w:rPr>
          <w:sz w:val="18"/>
          <w:szCs w:val="18"/>
        </w:rPr>
        <w:t>-</w:t>
      </w:r>
      <w:r w:rsidRPr="00330146">
        <w:rPr>
          <w:sz w:val="18"/>
          <w:szCs w:val="18"/>
        </w:rPr>
        <w:t xml:space="preserve"> Perceived Brand Equity</w:t>
      </w:r>
      <w:r w:rsidR="00E81EAA" w:rsidRPr="00330146">
        <w:rPr>
          <w:sz w:val="18"/>
          <w:szCs w:val="18"/>
        </w:rPr>
        <w:t>”,</w:t>
      </w:r>
      <w:r w:rsidRPr="00330146">
        <w:rPr>
          <w:sz w:val="18"/>
          <w:szCs w:val="18"/>
        </w:rPr>
        <w:t xml:space="preserve"> International Journal of Research in Marketing, </w:t>
      </w:r>
      <w:r w:rsidR="00E81EAA" w:rsidRPr="00330146">
        <w:rPr>
          <w:sz w:val="18"/>
          <w:szCs w:val="18"/>
        </w:rPr>
        <w:t xml:space="preserve">Vol.10, No.1, </w:t>
      </w:r>
      <w:r w:rsidRPr="00330146">
        <w:rPr>
          <w:sz w:val="18"/>
          <w:szCs w:val="18"/>
        </w:rPr>
        <w:t>1993,</w:t>
      </w:r>
      <w:r w:rsidR="00E81EAA" w:rsidRPr="00330146">
        <w:rPr>
          <w:sz w:val="18"/>
          <w:szCs w:val="18"/>
        </w:rPr>
        <w:t xml:space="preserve"> s.</w:t>
      </w:r>
      <w:r w:rsidRPr="00330146">
        <w:rPr>
          <w:sz w:val="18"/>
          <w:szCs w:val="18"/>
        </w:rPr>
        <w:t>23-45.</w:t>
      </w:r>
    </w:p>
    <w:p w:rsidR="00440C1E" w:rsidRPr="00330146" w:rsidRDefault="00440C1E" w:rsidP="009F1321">
      <w:pPr>
        <w:spacing w:before="120" w:after="120"/>
        <w:jc w:val="both"/>
        <w:rPr>
          <w:sz w:val="18"/>
          <w:szCs w:val="18"/>
        </w:rPr>
      </w:pPr>
      <w:r w:rsidRPr="00330146">
        <w:rPr>
          <w:sz w:val="18"/>
          <w:szCs w:val="18"/>
        </w:rPr>
        <w:t>Yapraklı, Ş. ve Can, P. “Pazarlama Faaliyetlerinin ve Ailenin Tüketici Temelli Marka Değeri Boyutlarına Etkisi”, Atatürk Üniversitesi, İİBF Dergisi, Cilt:23, Sayı:1, 2009, s</w:t>
      </w:r>
      <w:r w:rsidR="008D486F" w:rsidRPr="00330146">
        <w:rPr>
          <w:sz w:val="18"/>
          <w:szCs w:val="18"/>
        </w:rPr>
        <w:t>.</w:t>
      </w:r>
      <w:r w:rsidRPr="00330146">
        <w:rPr>
          <w:sz w:val="18"/>
          <w:szCs w:val="18"/>
        </w:rPr>
        <w:t>265-290.</w:t>
      </w:r>
    </w:p>
    <w:p w:rsidR="00945A95" w:rsidRPr="00330146" w:rsidRDefault="008B39E8" w:rsidP="00B52BC1">
      <w:pPr>
        <w:spacing w:before="120" w:after="120"/>
        <w:jc w:val="both"/>
        <w:rPr>
          <w:rFonts w:eastAsia="TimesNewRomanPSMT"/>
          <w:sz w:val="18"/>
          <w:szCs w:val="18"/>
        </w:rPr>
      </w:pPr>
      <w:r w:rsidRPr="00330146">
        <w:rPr>
          <w:sz w:val="18"/>
          <w:szCs w:val="18"/>
        </w:rPr>
        <w:t>Yoo, B. ve Donthu, N. “Developing and Validating a Multidimensional Consumer-Based Brand Equity Scale”</w:t>
      </w:r>
      <w:r w:rsidR="00E81EAA" w:rsidRPr="00330146">
        <w:rPr>
          <w:sz w:val="18"/>
          <w:szCs w:val="18"/>
        </w:rPr>
        <w:t>,</w:t>
      </w:r>
      <w:r w:rsidRPr="00330146">
        <w:rPr>
          <w:sz w:val="18"/>
          <w:szCs w:val="18"/>
        </w:rPr>
        <w:t xml:space="preserve"> Journal of Business Researc, </w:t>
      </w:r>
      <w:r w:rsidR="00E81EAA" w:rsidRPr="00330146">
        <w:rPr>
          <w:sz w:val="18"/>
          <w:szCs w:val="18"/>
        </w:rPr>
        <w:t xml:space="preserve">52, </w:t>
      </w:r>
      <w:r w:rsidRPr="00330146">
        <w:rPr>
          <w:sz w:val="18"/>
          <w:szCs w:val="18"/>
        </w:rPr>
        <w:t xml:space="preserve">2001, </w:t>
      </w:r>
      <w:r w:rsidR="00E81EAA" w:rsidRPr="00330146">
        <w:rPr>
          <w:sz w:val="18"/>
          <w:szCs w:val="18"/>
        </w:rPr>
        <w:t>s.1</w:t>
      </w:r>
      <w:r w:rsidRPr="00330146">
        <w:rPr>
          <w:sz w:val="18"/>
          <w:szCs w:val="18"/>
        </w:rPr>
        <w:t>-14.</w:t>
      </w:r>
    </w:p>
    <w:p w:rsidR="00330146" w:rsidRPr="00330146" w:rsidRDefault="00330146">
      <w:pPr>
        <w:spacing w:before="120" w:after="120"/>
        <w:jc w:val="both"/>
        <w:rPr>
          <w:rFonts w:eastAsia="TimesNewRomanPSMT"/>
          <w:sz w:val="18"/>
          <w:szCs w:val="18"/>
        </w:rPr>
      </w:pPr>
    </w:p>
    <w:sectPr w:rsidR="00330146" w:rsidRPr="00330146" w:rsidSect="00BC14DB">
      <w:footerReference w:type="default" r:id="rId10"/>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16" w:rsidRDefault="00275616" w:rsidP="006A66C4">
      <w:r>
        <w:separator/>
      </w:r>
    </w:p>
  </w:endnote>
  <w:endnote w:type="continuationSeparator" w:id="0">
    <w:p w:rsidR="00275616" w:rsidRDefault="00275616" w:rsidP="006A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EILLJ M+ Times New Roman 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63412"/>
      <w:docPartObj>
        <w:docPartGallery w:val="Page Numbers (Bottom of Page)"/>
        <w:docPartUnique/>
      </w:docPartObj>
    </w:sdtPr>
    <w:sdtEndPr>
      <w:rPr>
        <w:b/>
        <w:sz w:val="20"/>
        <w:szCs w:val="20"/>
      </w:rPr>
    </w:sdtEndPr>
    <w:sdtContent>
      <w:p w:rsidR="006A66C4" w:rsidRPr="006A66C4" w:rsidRDefault="006A66C4">
        <w:pPr>
          <w:pStyle w:val="Altbilgi"/>
          <w:jc w:val="center"/>
          <w:rPr>
            <w:b/>
            <w:sz w:val="20"/>
            <w:szCs w:val="20"/>
          </w:rPr>
        </w:pPr>
        <w:r w:rsidRPr="006A66C4">
          <w:rPr>
            <w:b/>
            <w:sz w:val="20"/>
            <w:szCs w:val="20"/>
          </w:rPr>
          <w:fldChar w:fldCharType="begin"/>
        </w:r>
        <w:r w:rsidRPr="006A66C4">
          <w:rPr>
            <w:b/>
            <w:sz w:val="20"/>
            <w:szCs w:val="20"/>
          </w:rPr>
          <w:instrText>PAGE   \* MERGEFORMAT</w:instrText>
        </w:r>
        <w:r w:rsidRPr="006A66C4">
          <w:rPr>
            <w:b/>
            <w:sz w:val="20"/>
            <w:szCs w:val="20"/>
          </w:rPr>
          <w:fldChar w:fldCharType="separate"/>
        </w:r>
        <w:r w:rsidR="00316A15">
          <w:rPr>
            <w:b/>
            <w:noProof/>
            <w:sz w:val="20"/>
            <w:szCs w:val="20"/>
          </w:rPr>
          <w:t>1</w:t>
        </w:r>
        <w:r w:rsidRPr="006A66C4">
          <w:rPr>
            <w:b/>
            <w:sz w:val="20"/>
            <w:szCs w:val="20"/>
          </w:rPr>
          <w:fldChar w:fldCharType="end"/>
        </w:r>
      </w:p>
    </w:sdtContent>
  </w:sdt>
  <w:p w:rsidR="006A66C4" w:rsidRDefault="006A66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16" w:rsidRDefault="00275616" w:rsidP="006A66C4">
      <w:r>
        <w:separator/>
      </w:r>
    </w:p>
  </w:footnote>
  <w:footnote w:type="continuationSeparator" w:id="0">
    <w:p w:rsidR="00275616" w:rsidRDefault="00275616" w:rsidP="006A6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12D2"/>
    <w:multiLevelType w:val="multilevel"/>
    <w:tmpl w:val="47EC8010"/>
    <w:lvl w:ilvl="0">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E811ED7"/>
    <w:multiLevelType w:val="hybridMultilevel"/>
    <w:tmpl w:val="86C82B58"/>
    <w:lvl w:ilvl="0" w:tplc="AF9EC07A">
      <w:start w:val="1"/>
      <w:numFmt w:val="bullet"/>
      <w:lvlText w:val=""/>
      <w:lvlJc w:val="left"/>
      <w:pPr>
        <w:tabs>
          <w:tab w:val="num" w:pos="1635"/>
        </w:tabs>
        <w:ind w:left="1635"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A915323"/>
    <w:multiLevelType w:val="hybridMultilevel"/>
    <w:tmpl w:val="6ECC2572"/>
    <w:lvl w:ilvl="0" w:tplc="EDFECE6E">
      <w:start w:val="1"/>
      <w:numFmt w:val="bullet"/>
      <w:lvlText w:val="•"/>
      <w:lvlJc w:val="left"/>
      <w:pPr>
        <w:tabs>
          <w:tab w:val="num" w:pos="720"/>
        </w:tabs>
        <w:ind w:left="720" w:hanging="360"/>
      </w:pPr>
      <w:rPr>
        <w:rFonts w:ascii="Arial" w:hAnsi="Arial" w:hint="default"/>
      </w:rPr>
    </w:lvl>
    <w:lvl w:ilvl="1" w:tplc="E8D01614" w:tentative="1">
      <w:start w:val="1"/>
      <w:numFmt w:val="bullet"/>
      <w:lvlText w:val="•"/>
      <w:lvlJc w:val="left"/>
      <w:pPr>
        <w:tabs>
          <w:tab w:val="num" w:pos="1440"/>
        </w:tabs>
        <w:ind w:left="1440" w:hanging="360"/>
      </w:pPr>
      <w:rPr>
        <w:rFonts w:ascii="Arial" w:hAnsi="Arial" w:hint="default"/>
      </w:rPr>
    </w:lvl>
    <w:lvl w:ilvl="2" w:tplc="7C16FE78" w:tentative="1">
      <w:start w:val="1"/>
      <w:numFmt w:val="bullet"/>
      <w:lvlText w:val="•"/>
      <w:lvlJc w:val="left"/>
      <w:pPr>
        <w:tabs>
          <w:tab w:val="num" w:pos="2160"/>
        </w:tabs>
        <w:ind w:left="2160" w:hanging="360"/>
      </w:pPr>
      <w:rPr>
        <w:rFonts w:ascii="Arial" w:hAnsi="Arial" w:hint="default"/>
      </w:rPr>
    </w:lvl>
    <w:lvl w:ilvl="3" w:tplc="FF82D7F8" w:tentative="1">
      <w:start w:val="1"/>
      <w:numFmt w:val="bullet"/>
      <w:lvlText w:val="•"/>
      <w:lvlJc w:val="left"/>
      <w:pPr>
        <w:tabs>
          <w:tab w:val="num" w:pos="2880"/>
        </w:tabs>
        <w:ind w:left="2880" w:hanging="360"/>
      </w:pPr>
      <w:rPr>
        <w:rFonts w:ascii="Arial" w:hAnsi="Arial" w:hint="default"/>
      </w:rPr>
    </w:lvl>
    <w:lvl w:ilvl="4" w:tplc="C4022660" w:tentative="1">
      <w:start w:val="1"/>
      <w:numFmt w:val="bullet"/>
      <w:lvlText w:val="•"/>
      <w:lvlJc w:val="left"/>
      <w:pPr>
        <w:tabs>
          <w:tab w:val="num" w:pos="3600"/>
        </w:tabs>
        <w:ind w:left="3600" w:hanging="360"/>
      </w:pPr>
      <w:rPr>
        <w:rFonts w:ascii="Arial" w:hAnsi="Arial" w:hint="default"/>
      </w:rPr>
    </w:lvl>
    <w:lvl w:ilvl="5" w:tplc="A6742D1C" w:tentative="1">
      <w:start w:val="1"/>
      <w:numFmt w:val="bullet"/>
      <w:lvlText w:val="•"/>
      <w:lvlJc w:val="left"/>
      <w:pPr>
        <w:tabs>
          <w:tab w:val="num" w:pos="4320"/>
        </w:tabs>
        <w:ind w:left="4320" w:hanging="360"/>
      </w:pPr>
      <w:rPr>
        <w:rFonts w:ascii="Arial" w:hAnsi="Arial" w:hint="default"/>
      </w:rPr>
    </w:lvl>
    <w:lvl w:ilvl="6" w:tplc="E2627B8E" w:tentative="1">
      <w:start w:val="1"/>
      <w:numFmt w:val="bullet"/>
      <w:lvlText w:val="•"/>
      <w:lvlJc w:val="left"/>
      <w:pPr>
        <w:tabs>
          <w:tab w:val="num" w:pos="5040"/>
        </w:tabs>
        <w:ind w:left="5040" w:hanging="360"/>
      </w:pPr>
      <w:rPr>
        <w:rFonts w:ascii="Arial" w:hAnsi="Arial" w:hint="default"/>
      </w:rPr>
    </w:lvl>
    <w:lvl w:ilvl="7" w:tplc="744E47AE" w:tentative="1">
      <w:start w:val="1"/>
      <w:numFmt w:val="bullet"/>
      <w:lvlText w:val="•"/>
      <w:lvlJc w:val="left"/>
      <w:pPr>
        <w:tabs>
          <w:tab w:val="num" w:pos="5760"/>
        </w:tabs>
        <w:ind w:left="5760" w:hanging="360"/>
      </w:pPr>
      <w:rPr>
        <w:rFonts w:ascii="Arial" w:hAnsi="Arial" w:hint="default"/>
      </w:rPr>
    </w:lvl>
    <w:lvl w:ilvl="8" w:tplc="3D706034" w:tentative="1">
      <w:start w:val="1"/>
      <w:numFmt w:val="bullet"/>
      <w:lvlText w:val="•"/>
      <w:lvlJc w:val="left"/>
      <w:pPr>
        <w:tabs>
          <w:tab w:val="num" w:pos="6480"/>
        </w:tabs>
        <w:ind w:left="6480" w:hanging="360"/>
      </w:pPr>
      <w:rPr>
        <w:rFonts w:ascii="Arial" w:hAnsi="Arial" w:hint="default"/>
      </w:rPr>
    </w:lvl>
  </w:abstractNum>
  <w:abstractNum w:abstractNumId="3">
    <w:nsid w:val="53D43B17"/>
    <w:multiLevelType w:val="hybridMultilevel"/>
    <w:tmpl w:val="1996CFC0"/>
    <w:lvl w:ilvl="0" w:tplc="34F6205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8A"/>
    <w:rsid w:val="0002431A"/>
    <w:rsid w:val="00032315"/>
    <w:rsid w:val="00036FE6"/>
    <w:rsid w:val="000524B5"/>
    <w:rsid w:val="0005389B"/>
    <w:rsid w:val="00057F82"/>
    <w:rsid w:val="000654C1"/>
    <w:rsid w:val="00065981"/>
    <w:rsid w:val="00067B27"/>
    <w:rsid w:val="00071B8E"/>
    <w:rsid w:val="00071F22"/>
    <w:rsid w:val="00076C86"/>
    <w:rsid w:val="00092F8B"/>
    <w:rsid w:val="00094F79"/>
    <w:rsid w:val="000A0E94"/>
    <w:rsid w:val="000A0E9E"/>
    <w:rsid w:val="000A1803"/>
    <w:rsid w:val="000A2CF2"/>
    <w:rsid w:val="000A3846"/>
    <w:rsid w:val="000D316D"/>
    <w:rsid w:val="000D44EA"/>
    <w:rsid w:val="000D49C2"/>
    <w:rsid w:val="000E2C97"/>
    <w:rsid w:val="000F5734"/>
    <w:rsid w:val="000F774C"/>
    <w:rsid w:val="000F7B98"/>
    <w:rsid w:val="00112730"/>
    <w:rsid w:val="00112FB6"/>
    <w:rsid w:val="001168D7"/>
    <w:rsid w:val="00120C14"/>
    <w:rsid w:val="001315A5"/>
    <w:rsid w:val="00133B7E"/>
    <w:rsid w:val="00137276"/>
    <w:rsid w:val="0013786B"/>
    <w:rsid w:val="001512D0"/>
    <w:rsid w:val="00151981"/>
    <w:rsid w:val="001625FE"/>
    <w:rsid w:val="00172A16"/>
    <w:rsid w:val="00172BE3"/>
    <w:rsid w:val="00173FAD"/>
    <w:rsid w:val="001817C0"/>
    <w:rsid w:val="0019071D"/>
    <w:rsid w:val="001A416F"/>
    <w:rsid w:val="001A6746"/>
    <w:rsid w:val="001B3921"/>
    <w:rsid w:val="001B5AC7"/>
    <w:rsid w:val="001C0C2A"/>
    <w:rsid w:val="001C409A"/>
    <w:rsid w:val="001C4738"/>
    <w:rsid w:val="001D0244"/>
    <w:rsid w:val="001D78B7"/>
    <w:rsid w:val="001D7F91"/>
    <w:rsid w:val="001F01A4"/>
    <w:rsid w:val="001F4FAA"/>
    <w:rsid w:val="001F5092"/>
    <w:rsid w:val="001F6CEE"/>
    <w:rsid w:val="0023140B"/>
    <w:rsid w:val="002332AB"/>
    <w:rsid w:val="00234529"/>
    <w:rsid w:val="002356DA"/>
    <w:rsid w:val="00244C1E"/>
    <w:rsid w:val="0024650B"/>
    <w:rsid w:val="002570A7"/>
    <w:rsid w:val="00271E50"/>
    <w:rsid w:val="00275616"/>
    <w:rsid w:val="00284AE2"/>
    <w:rsid w:val="00291F2D"/>
    <w:rsid w:val="00296D61"/>
    <w:rsid w:val="002A262E"/>
    <w:rsid w:val="002A349C"/>
    <w:rsid w:val="002B481F"/>
    <w:rsid w:val="002D0948"/>
    <w:rsid w:val="002D7114"/>
    <w:rsid w:val="002F4361"/>
    <w:rsid w:val="002F44CB"/>
    <w:rsid w:val="002F60DC"/>
    <w:rsid w:val="003001CB"/>
    <w:rsid w:val="00316A15"/>
    <w:rsid w:val="003208AB"/>
    <w:rsid w:val="003258AF"/>
    <w:rsid w:val="00330146"/>
    <w:rsid w:val="00341D77"/>
    <w:rsid w:val="00342FED"/>
    <w:rsid w:val="00346066"/>
    <w:rsid w:val="0035320C"/>
    <w:rsid w:val="00357EC8"/>
    <w:rsid w:val="00357FCB"/>
    <w:rsid w:val="00376119"/>
    <w:rsid w:val="00377FA4"/>
    <w:rsid w:val="00384692"/>
    <w:rsid w:val="0038568F"/>
    <w:rsid w:val="00385C65"/>
    <w:rsid w:val="003A2BFA"/>
    <w:rsid w:val="003A7063"/>
    <w:rsid w:val="003B0E07"/>
    <w:rsid w:val="003B6DD6"/>
    <w:rsid w:val="003C6DA0"/>
    <w:rsid w:val="003D231B"/>
    <w:rsid w:val="003D5226"/>
    <w:rsid w:val="003E0F54"/>
    <w:rsid w:val="003E7BDB"/>
    <w:rsid w:val="003F4361"/>
    <w:rsid w:val="00403E03"/>
    <w:rsid w:val="004248AA"/>
    <w:rsid w:val="00440C1E"/>
    <w:rsid w:val="00444BA5"/>
    <w:rsid w:val="004804C1"/>
    <w:rsid w:val="0048216F"/>
    <w:rsid w:val="00487D84"/>
    <w:rsid w:val="00496FBB"/>
    <w:rsid w:val="004B3B08"/>
    <w:rsid w:val="004B629A"/>
    <w:rsid w:val="004D2B44"/>
    <w:rsid w:val="004E1BE8"/>
    <w:rsid w:val="004E4DE5"/>
    <w:rsid w:val="004F204C"/>
    <w:rsid w:val="004F6365"/>
    <w:rsid w:val="00500578"/>
    <w:rsid w:val="0050065B"/>
    <w:rsid w:val="005120C1"/>
    <w:rsid w:val="00513724"/>
    <w:rsid w:val="005157D1"/>
    <w:rsid w:val="00515EB9"/>
    <w:rsid w:val="00534457"/>
    <w:rsid w:val="0053576E"/>
    <w:rsid w:val="00541407"/>
    <w:rsid w:val="00547535"/>
    <w:rsid w:val="00551053"/>
    <w:rsid w:val="005548D1"/>
    <w:rsid w:val="00561AE9"/>
    <w:rsid w:val="005652C2"/>
    <w:rsid w:val="005659D0"/>
    <w:rsid w:val="00567710"/>
    <w:rsid w:val="00586B10"/>
    <w:rsid w:val="005926AC"/>
    <w:rsid w:val="005A3ED8"/>
    <w:rsid w:val="005A5A27"/>
    <w:rsid w:val="005B2114"/>
    <w:rsid w:val="005B74AD"/>
    <w:rsid w:val="005E3E71"/>
    <w:rsid w:val="005F4384"/>
    <w:rsid w:val="005F503D"/>
    <w:rsid w:val="005F657D"/>
    <w:rsid w:val="00613DAF"/>
    <w:rsid w:val="00615051"/>
    <w:rsid w:val="006243B2"/>
    <w:rsid w:val="00626E64"/>
    <w:rsid w:val="00634795"/>
    <w:rsid w:val="006409DC"/>
    <w:rsid w:val="00642B38"/>
    <w:rsid w:val="00656CB9"/>
    <w:rsid w:val="00666668"/>
    <w:rsid w:val="006762FA"/>
    <w:rsid w:val="00697E22"/>
    <w:rsid w:val="006A1870"/>
    <w:rsid w:val="006A66C4"/>
    <w:rsid w:val="006C0FB0"/>
    <w:rsid w:val="006E28A3"/>
    <w:rsid w:val="006E3938"/>
    <w:rsid w:val="006E4A94"/>
    <w:rsid w:val="00707D06"/>
    <w:rsid w:val="00713260"/>
    <w:rsid w:val="007208CF"/>
    <w:rsid w:val="00723422"/>
    <w:rsid w:val="007341A1"/>
    <w:rsid w:val="00737198"/>
    <w:rsid w:val="007373BE"/>
    <w:rsid w:val="00742784"/>
    <w:rsid w:val="00752C45"/>
    <w:rsid w:val="00754A9F"/>
    <w:rsid w:val="007616FC"/>
    <w:rsid w:val="00762A85"/>
    <w:rsid w:val="00763AAB"/>
    <w:rsid w:val="00770DFA"/>
    <w:rsid w:val="0078574F"/>
    <w:rsid w:val="00787BEB"/>
    <w:rsid w:val="007A082A"/>
    <w:rsid w:val="007A5340"/>
    <w:rsid w:val="007A53AB"/>
    <w:rsid w:val="007B3AD2"/>
    <w:rsid w:val="007C0B8B"/>
    <w:rsid w:val="007C42DF"/>
    <w:rsid w:val="007E42D9"/>
    <w:rsid w:val="007F0A51"/>
    <w:rsid w:val="007F191D"/>
    <w:rsid w:val="007F2C3E"/>
    <w:rsid w:val="007F5A42"/>
    <w:rsid w:val="00803145"/>
    <w:rsid w:val="0080362B"/>
    <w:rsid w:val="00807A09"/>
    <w:rsid w:val="008117C5"/>
    <w:rsid w:val="00814162"/>
    <w:rsid w:val="00822C9B"/>
    <w:rsid w:val="008308F6"/>
    <w:rsid w:val="00834D81"/>
    <w:rsid w:val="00835DBB"/>
    <w:rsid w:val="00840507"/>
    <w:rsid w:val="008419A9"/>
    <w:rsid w:val="00844F42"/>
    <w:rsid w:val="00846831"/>
    <w:rsid w:val="00847F0C"/>
    <w:rsid w:val="00853C63"/>
    <w:rsid w:val="00860514"/>
    <w:rsid w:val="008664BC"/>
    <w:rsid w:val="00883714"/>
    <w:rsid w:val="00883B10"/>
    <w:rsid w:val="0088644B"/>
    <w:rsid w:val="0089175E"/>
    <w:rsid w:val="008A4446"/>
    <w:rsid w:val="008A4D29"/>
    <w:rsid w:val="008A4E70"/>
    <w:rsid w:val="008A61CE"/>
    <w:rsid w:val="008A7E3C"/>
    <w:rsid w:val="008B39E8"/>
    <w:rsid w:val="008C312A"/>
    <w:rsid w:val="008D486F"/>
    <w:rsid w:val="008E2ABB"/>
    <w:rsid w:val="008E3491"/>
    <w:rsid w:val="008F4EC4"/>
    <w:rsid w:val="008F6646"/>
    <w:rsid w:val="009010CE"/>
    <w:rsid w:val="00905E1C"/>
    <w:rsid w:val="00907C8A"/>
    <w:rsid w:val="00916B6E"/>
    <w:rsid w:val="00917220"/>
    <w:rsid w:val="00935922"/>
    <w:rsid w:val="00940C23"/>
    <w:rsid w:val="009420EA"/>
    <w:rsid w:val="00942EF5"/>
    <w:rsid w:val="00945A95"/>
    <w:rsid w:val="0094638E"/>
    <w:rsid w:val="00946774"/>
    <w:rsid w:val="00960462"/>
    <w:rsid w:val="00980302"/>
    <w:rsid w:val="00982084"/>
    <w:rsid w:val="009835C7"/>
    <w:rsid w:val="0099250C"/>
    <w:rsid w:val="009A0301"/>
    <w:rsid w:val="009A61E5"/>
    <w:rsid w:val="009B348E"/>
    <w:rsid w:val="009B72D7"/>
    <w:rsid w:val="009C1729"/>
    <w:rsid w:val="009C5B18"/>
    <w:rsid w:val="009E3C04"/>
    <w:rsid w:val="009F1321"/>
    <w:rsid w:val="009F2086"/>
    <w:rsid w:val="009F2F7B"/>
    <w:rsid w:val="009F3F60"/>
    <w:rsid w:val="009F47AD"/>
    <w:rsid w:val="00A0313A"/>
    <w:rsid w:val="00A248AC"/>
    <w:rsid w:val="00A31F24"/>
    <w:rsid w:val="00A62F7A"/>
    <w:rsid w:val="00A66723"/>
    <w:rsid w:val="00A67D5C"/>
    <w:rsid w:val="00A75C63"/>
    <w:rsid w:val="00A76FAC"/>
    <w:rsid w:val="00A81264"/>
    <w:rsid w:val="00A81DCC"/>
    <w:rsid w:val="00A96B46"/>
    <w:rsid w:val="00AA1BA2"/>
    <w:rsid w:val="00AC0BE1"/>
    <w:rsid w:val="00AD0528"/>
    <w:rsid w:val="00AD2108"/>
    <w:rsid w:val="00AD71CE"/>
    <w:rsid w:val="00AE0970"/>
    <w:rsid w:val="00AE1586"/>
    <w:rsid w:val="00AF088E"/>
    <w:rsid w:val="00B04595"/>
    <w:rsid w:val="00B33668"/>
    <w:rsid w:val="00B359C9"/>
    <w:rsid w:val="00B36FA3"/>
    <w:rsid w:val="00B41C93"/>
    <w:rsid w:val="00B47572"/>
    <w:rsid w:val="00B479E2"/>
    <w:rsid w:val="00B52BC1"/>
    <w:rsid w:val="00B54054"/>
    <w:rsid w:val="00B54959"/>
    <w:rsid w:val="00B676BA"/>
    <w:rsid w:val="00B7662A"/>
    <w:rsid w:val="00B80056"/>
    <w:rsid w:val="00BA4674"/>
    <w:rsid w:val="00BB0122"/>
    <w:rsid w:val="00BB119B"/>
    <w:rsid w:val="00BB16EC"/>
    <w:rsid w:val="00BB24BE"/>
    <w:rsid w:val="00BB4CB4"/>
    <w:rsid w:val="00BB668B"/>
    <w:rsid w:val="00BC14DB"/>
    <w:rsid w:val="00BC65EF"/>
    <w:rsid w:val="00BC67EC"/>
    <w:rsid w:val="00BC7A28"/>
    <w:rsid w:val="00BD58E2"/>
    <w:rsid w:val="00BE24D6"/>
    <w:rsid w:val="00BF06F9"/>
    <w:rsid w:val="00C21034"/>
    <w:rsid w:val="00C244DA"/>
    <w:rsid w:val="00C35ABC"/>
    <w:rsid w:val="00C37BCB"/>
    <w:rsid w:val="00C44B88"/>
    <w:rsid w:val="00C55927"/>
    <w:rsid w:val="00C601F2"/>
    <w:rsid w:val="00C67B4E"/>
    <w:rsid w:val="00C74541"/>
    <w:rsid w:val="00C93B76"/>
    <w:rsid w:val="00C943FF"/>
    <w:rsid w:val="00C96AC1"/>
    <w:rsid w:val="00CA4D0B"/>
    <w:rsid w:val="00CA6297"/>
    <w:rsid w:val="00CB2FF1"/>
    <w:rsid w:val="00CE2C2A"/>
    <w:rsid w:val="00CE41B0"/>
    <w:rsid w:val="00CF0270"/>
    <w:rsid w:val="00CF7066"/>
    <w:rsid w:val="00D06BAE"/>
    <w:rsid w:val="00D1263F"/>
    <w:rsid w:val="00D134D1"/>
    <w:rsid w:val="00D213A9"/>
    <w:rsid w:val="00D2257B"/>
    <w:rsid w:val="00D4189F"/>
    <w:rsid w:val="00D440F7"/>
    <w:rsid w:val="00D45C77"/>
    <w:rsid w:val="00D62680"/>
    <w:rsid w:val="00D65B14"/>
    <w:rsid w:val="00D6763B"/>
    <w:rsid w:val="00D75B3F"/>
    <w:rsid w:val="00D77886"/>
    <w:rsid w:val="00D81A40"/>
    <w:rsid w:val="00D9058B"/>
    <w:rsid w:val="00DA2FC9"/>
    <w:rsid w:val="00DD21F0"/>
    <w:rsid w:val="00DE44EC"/>
    <w:rsid w:val="00DF43D5"/>
    <w:rsid w:val="00E1156E"/>
    <w:rsid w:val="00E1505A"/>
    <w:rsid w:val="00E21DFB"/>
    <w:rsid w:val="00E27E26"/>
    <w:rsid w:val="00E359D4"/>
    <w:rsid w:val="00E40FE7"/>
    <w:rsid w:val="00E47D7E"/>
    <w:rsid w:val="00E507D5"/>
    <w:rsid w:val="00E579DF"/>
    <w:rsid w:val="00E66554"/>
    <w:rsid w:val="00E6686D"/>
    <w:rsid w:val="00E70034"/>
    <w:rsid w:val="00E7080D"/>
    <w:rsid w:val="00E75440"/>
    <w:rsid w:val="00E81EAA"/>
    <w:rsid w:val="00E83934"/>
    <w:rsid w:val="00E9353F"/>
    <w:rsid w:val="00E93FD2"/>
    <w:rsid w:val="00EA1335"/>
    <w:rsid w:val="00EB7B33"/>
    <w:rsid w:val="00EC0AA2"/>
    <w:rsid w:val="00ED4370"/>
    <w:rsid w:val="00ED4D06"/>
    <w:rsid w:val="00ED6F7E"/>
    <w:rsid w:val="00EE120D"/>
    <w:rsid w:val="00EE3B4C"/>
    <w:rsid w:val="00EE6195"/>
    <w:rsid w:val="00EF2256"/>
    <w:rsid w:val="00EF2AF9"/>
    <w:rsid w:val="00EF4650"/>
    <w:rsid w:val="00EF7A09"/>
    <w:rsid w:val="00F11522"/>
    <w:rsid w:val="00F444D7"/>
    <w:rsid w:val="00F4740D"/>
    <w:rsid w:val="00F5450E"/>
    <w:rsid w:val="00F566B0"/>
    <w:rsid w:val="00F56A0A"/>
    <w:rsid w:val="00F66B60"/>
    <w:rsid w:val="00F73696"/>
    <w:rsid w:val="00F83B33"/>
    <w:rsid w:val="00FA43C2"/>
    <w:rsid w:val="00FA720C"/>
    <w:rsid w:val="00FB1DDD"/>
    <w:rsid w:val="00FB40A9"/>
    <w:rsid w:val="00FB55DB"/>
    <w:rsid w:val="00FE42C8"/>
    <w:rsid w:val="00FF5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B2"/>
    <w:rPr>
      <w:sz w:val="24"/>
      <w:szCs w:val="24"/>
    </w:rPr>
  </w:style>
  <w:style w:type="paragraph" w:styleId="Balk1">
    <w:name w:val="heading 1"/>
    <w:basedOn w:val="Normal"/>
    <w:next w:val="Normal"/>
    <w:link w:val="Balk1Char"/>
    <w:uiPriority w:val="9"/>
    <w:qFormat/>
    <w:rsid w:val="00BF0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243B2"/>
    <w:pPr>
      <w:jc w:val="center"/>
    </w:pPr>
    <w:rPr>
      <w:b/>
      <w:bCs/>
    </w:rPr>
  </w:style>
  <w:style w:type="paragraph" w:styleId="NormalWeb">
    <w:name w:val="Normal (Web)"/>
    <w:basedOn w:val="Normal"/>
    <w:semiHidden/>
    <w:rsid w:val="006243B2"/>
    <w:pPr>
      <w:spacing w:before="150" w:after="150"/>
    </w:pPr>
  </w:style>
  <w:style w:type="paragraph" w:customStyle="1" w:styleId="Normal1">
    <w:name w:val="Normal1"/>
    <w:basedOn w:val="Normal"/>
    <w:rsid w:val="006243B2"/>
    <w:pPr>
      <w:shd w:val="clear" w:color="auto" w:fill="F9F9F9"/>
      <w:spacing w:before="150" w:after="150"/>
    </w:pPr>
  </w:style>
  <w:style w:type="paragraph" w:styleId="GvdeMetni">
    <w:name w:val="Body Text"/>
    <w:basedOn w:val="Normal"/>
    <w:semiHidden/>
    <w:rsid w:val="006243B2"/>
    <w:pPr>
      <w:jc w:val="both"/>
    </w:pPr>
    <w:rPr>
      <w:szCs w:val="20"/>
    </w:rPr>
  </w:style>
  <w:style w:type="paragraph" w:styleId="AltKonuBal">
    <w:name w:val="Subtitle"/>
    <w:basedOn w:val="Normal"/>
    <w:qFormat/>
    <w:rsid w:val="006243B2"/>
    <w:rPr>
      <w:bCs/>
      <w:i/>
      <w:iCs/>
      <w:color w:val="000000"/>
      <w:sz w:val="28"/>
      <w:szCs w:val="28"/>
    </w:rPr>
  </w:style>
  <w:style w:type="character" w:styleId="Kpr">
    <w:name w:val="Hyperlink"/>
    <w:basedOn w:val="VarsaylanParagrafYazTipi"/>
    <w:semiHidden/>
    <w:rsid w:val="006243B2"/>
    <w:rPr>
      <w:color w:val="0000FF"/>
      <w:u w:val="single"/>
    </w:rPr>
  </w:style>
  <w:style w:type="paragraph" w:styleId="GvdeMetniGirintisi">
    <w:name w:val="Body Text Indent"/>
    <w:basedOn w:val="Normal"/>
    <w:semiHidden/>
    <w:rsid w:val="006243B2"/>
    <w:pPr>
      <w:ind w:firstLine="361"/>
      <w:jc w:val="both"/>
    </w:pPr>
  </w:style>
  <w:style w:type="character" w:styleId="Gl">
    <w:name w:val="Strong"/>
    <w:basedOn w:val="VarsaylanParagrafYazTipi"/>
    <w:qFormat/>
    <w:rsid w:val="006243B2"/>
    <w:rPr>
      <w:b/>
      <w:bCs/>
    </w:rPr>
  </w:style>
  <w:style w:type="paragraph" w:styleId="GvdeMetni2">
    <w:name w:val="Body Text 2"/>
    <w:basedOn w:val="Normal"/>
    <w:semiHidden/>
    <w:rsid w:val="006243B2"/>
    <w:pPr>
      <w:spacing w:after="60"/>
      <w:jc w:val="both"/>
    </w:pPr>
    <w:rPr>
      <w:sz w:val="20"/>
    </w:rPr>
  </w:style>
  <w:style w:type="paragraph" w:customStyle="1" w:styleId="CM7">
    <w:name w:val="CM7"/>
    <w:basedOn w:val="Normal"/>
    <w:next w:val="Normal"/>
    <w:rsid w:val="006243B2"/>
    <w:pPr>
      <w:widowControl w:val="0"/>
      <w:autoSpaceDE w:val="0"/>
      <w:autoSpaceDN w:val="0"/>
      <w:adjustRightInd w:val="0"/>
      <w:spacing w:after="168"/>
    </w:pPr>
    <w:rPr>
      <w:rFonts w:ascii="EILLJ M+ Times New Roman PSMT" w:hAnsi="EILLJ M+ Times New Roman PSMT"/>
    </w:rPr>
  </w:style>
  <w:style w:type="paragraph" w:customStyle="1" w:styleId="Default">
    <w:name w:val="Default"/>
    <w:rsid w:val="007E42D9"/>
    <w:pPr>
      <w:autoSpaceDE w:val="0"/>
      <w:autoSpaceDN w:val="0"/>
      <w:adjustRightInd w:val="0"/>
    </w:pPr>
    <w:rPr>
      <w:color w:val="000000"/>
      <w:sz w:val="24"/>
      <w:szCs w:val="24"/>
    </w:rPr>
  </w:style>
  <w:style w:type="character" w:customStyle="1" w:styleId="Balk1Char">
    <w:name w:val="Başlık 1 Char"/>
    <w:basedOn w:val="VarsaylanParagrafYazTipi"/>
    <w:link w:val="Balk1"/>
    <w:uiPriority w:val="9"/>
    <w:rsid w:val="00BF06F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qFormat/>
    <w:rsid w:val="00561AE9"/>
    <w:pPr>
      <w:spacing w:before="120" w:after="120" w:line="360" w:lineRule="auto"/>
    </w:pPr>
    <w:rPr>
      <w:rFonts w:eastAsia="Calibri" w:cs="Courier New"/>
      <w:bCs/>
      <w:color w:val="000000"/>
      <w:szCs w:val="20"/>
    </w:rPr>
  </w:style>
  <w:style w:type="paragraph" w:styleId="T3">
    <w:name w:val="toc 3"/>
    <w:basedOn w:val="Normal"/>
    <w:next w:val="Normal"/>
    <w:autoRedefine/>
    <w:uiPriority w:val="39"/>
    <w:qFormat/>
    <w:rsid w:val="00561AE9"/>
    <w:pPr>
      <w:spacing w:before="120" w:after="120" w:line="360" w:lineRule="auto"/>
    </w:pPr>
    <w:rPr>
      <w:rFonts w:eastAsia="Calibri" w:cs="Courier New"/>
      <w:color w:val="000000"/>
      <w:szCs w:val="20"/>
    </w:rPr>
  </w:style>
  <w:style w:type="paragraph" w:styleId="T4">
    <w:name w:val="toc 4"/>
    <w:basedOn w:val="Normal"/>
    <w:next w:val="Normal"/>
    <w:autoRedefine/>
    <w:uiPriority w:val="39"/>
    <w:rsid w:val="00561AE9"/>
    <w:pPr>
      <w:spacing w:before="120" w:after="120" w:line="360" w:lineRule="auto"/>
    </w:pPr>
    <w:rPr>
      <w:rFonts w:eastAsia="Calibri" w:cs="Courier New"/>
      <w:color w:val="000000"/>
      <w:szCs w:val="20"/>
    </w:rPr>
  </w:style>
  <w:style w:type="character" w:styleId="zlenenKpr">
    <w:name w:val="FollowedHyperlink"/>
    <w:basedOn w:val="VarsaylanParagrafYazTipi"/>
    <w:uiPriority w:val="99"/>
    <w:semiHidden/>
    <w:unhideWhenUsed/>
    <w:rsid w:val="00561AE9"/>
    <w:rPr>
      <w:color w:val="800080" w:themeColor="followedHyperlink"/>
      <w:u w:val="single"/>
    </w:rPr>
  </w:style>
  <w:style w:type="paragraph" w:styleId="BalonMetni">
    <w:name w:val="Balloon Text"/>
    <w:basedOn w:val="Normal"/>
    <w:link w:val="BalonMetniChar"/>
    <w:uiPriority w:val="99"/>
    <w:semiHidden/>
    <w:unhideWhenUsed/>
    <w:rsid w:val="00291F2D"/>
    <w:rPr>
      <w:rFonts w:ascii="Tahoma" w:hAnsi="Tahoma" w:cs="Tahoma"/>
      <w:sz w:val="16"/>
      <w:szCs w:val="16"/>
    </w:rPr>
  </w:style>
  <w:style w:type="character" w:customStyle="1" w:styleId="BalonMetniChar">
    <w:name w:val="Balon Metni Char"/>
    <w:basedOn w:val="VarsaylanParagrafYazTipi"/>
    <w:link w:val="BalonMetni"/>
    <w:uiPriority w:val="99"/>
    <w:semiHidden/>
    <w:rsid w:val="00291F2D"/>
    <w:rPr>
      <w:rFonts w:ascii="Tahoma" w:hAnsi="Tahoma" w:cs="Tahoma"/>
      <w:sz w:val="16"/>
      <w:szCs w:val="16"/>
    </w:rPr>
  </w:style>
  <w:style w:type="character" w:customStyle="1" w:styleId="fs18">
    <w:name w:val="fs18"/>
    <w:basedOn w:val="VarsaylanParagrafYazTipi"/>
    <w:rsid w:val="00FB1DDD"/>
  </w:style>
  <w:style w:type="table" w:styleId="TabloKlavuzu">
    <w:name w:val="Table Grid"/>
    <w:basedOn w:val="NormalTablo"/>
    <w:uiPriority w:val="59"/>
    <w:rsid w:val="003D5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83714"/>
    <w:pPr>
      <w:ind w:left="720"/>
      <w:contextualSpacing/>
    </w:pPr>
  </w:style>
  <w:style w:type="paragraph" w:styleId="stbilgi">
    <w:name w:val="header"/>
    <w:basedOn w:val="Normal"/>
    <w:link w:val="stbilgiChar"/>
    <w:uiPriority w:val="99"/>
    <w:unhideWhenUsed/>
    <w:rsid w:val="006A66C4"/>
    <w:pPr>
      <w:tabs>
        <w:tab w:val="center" w:pos="4536"/>
        <w:tab w:val="right" w:pos="9072"/>
      </w:tabs>
    </w:pPr>
  </w:style>
  <w:style w:type="character" w:customStyle="1" w:styleId="stbilgiChar">
    <w:name w:val="Üstbilgi Char"/>
    <w:basedOn w:val="VarsaylanParagrafYazTipi"/>
    <w:link w:val="stbilgi"/>
    <w:uiPriority w:val="99"/>
    <w:rsid w:val="006A66C4"/>
    <w:rPr>
      <w:sz w:val="24"/>
      <w:szCs w:val="24"/>
    </w:rPr>
  </w:style>
  <w:style w:type="paragraph" w:styleId="Altbilgi">
    <w:name w:val="footer"/>
    <w:basedOn w:val="Normal"/>
    <w:link w:val="AltbilgiChar"/>
    <w:uiPriority w:val="99"/>
    <w:unhideWhenUsed/>
    <w:rsid w:val="006A66C4"/>
    <w:pPr>
      <w:tabs>
        <w:tab w:val="center" w:pos="4536"/>
        <w:tab w:val="right" w:pos="9072"/>
      </w:tabs>
    </w:pPr>
  </w:style>
  <w:style w:type="character" w:customStyle="1" w:styleId="AltbilgiChar">
    <w:name w:val="Altbilgi Char"/>
    <w:basedOn w:val="VarsaylanParagrafYazTipi"/>
    <w:link w:val="Altbilgi"/>
    <w:uiPriority w:val="99"/>
    <w:rsid w:val="006A66C4"/>
    <w:rPr>
      <w:sz w:val="24"/>
      <w:szCs w:val="24"/>
    </w:rPr>
  </w:style>
  <w:style w:type="paragraph" w:styleId="AralkYok">
    <w:name w:val="No Spacing"/>
    <w:uiPriority w:val="1"/>
    <w:qFormat/>
    <w:rsid w:val="0033014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B2"/>
    <w:rPr>
      <w:sz w:val="24"/>
      <w:szCs w:val="24"/>
    </w:rPr>
  </w:style>
  <w:style w:type="paragraph" w:styleId="Balk1">
    <w:name w:val="heading 1"/>
    <w:basedOn w:val="Normal"/>
    <w:next w:val="Normal"/>
    <w:link w:val="Balk1Char"/>
    <w:uiPriority w:val="9"/>
    <w:qFormat/>
    <w:rsid w:val="00BF0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243B2"/>
    <w:pPr>
      <w:jc w:val="center"/>
    </w:pPr>
    <w:rPr>
      <w:b/>
      <w:bCs/>
    </w:rPr>
  </w:style>
  <w:style w:type="paragraph" w:styleId="NormalWeb">
    <w:name w:val="Normal (Web)"/>
    <w:basedOn w:val="Normal"/>
    <w:semiHidden/>
    <w:rsid w:val="006243B2"/>
    <w:pPr>
      <w:spacing w:before="150" w:after="150"/>
    </w:pPr>
  </w:style>
  <w:style w:type="paragraph" w:customStyle="1" w:styleId="Normal1">
    <w:name w:val="Normal1"/>
    <w:basedOn w:val="Normal"/>
    <w:rsid w:val="006243B2"/>
    <w:pPr>
      <w:shd w:val="clear" w:color="auto" w:fill="F9F9F9"/>
      <w:spacing w:before="150" w:after="150"/>
    </w:pPr>
  </w:style>
  <w:style w:type="paragraph" w:styleId="GvdeMetni">
    <w:name w:val="Body Text"/>
    <w:basedOn w:val="Normal"/>
    <w:semiHidden/>
    <w:rsid w:val="006243B2"/>
    <w:pPr>
      <w:jc w:val="both"/>
    </w:pPr>
    <w:rPr>
      <w:szCs w:val="20"/>
    </w:rPr>
  </w:style>
  <w:style w:type="paragraph" w:styleId="AltKonuBal">
    <w:name w:val="Subtitle"/>
    <w:basedOn w:val="Normal"/>
    <w:qFormat/>
    <w:rsid w:val="006243B2"/>
    <w:rPr>
      <w:bCs/>
      <w:i/>
      <w:iCs/>
      <w:color w:val="000000"/>
      <w:sz w:val="28"/>
      <w:szCs w:val="28"/>
    </w:rPr>
  </w:style>
  <w:style w:type="character" w:styleId="Kpr">
    <w:name w:val="Hyperlink"/>
    <w:basedOn w:val="VarsaylanParagrafYazTipi"/>
    <w:semiHidden/>
    <w:rsid w:val="006243B2"/>
    <w:rPr>
      <w:color w:val="0000FF"/>
      <w:u w:val="single"/>
    </w:rPr>
  </w:style>
  <w:style w:type="paragraph" w:styleId="GvdeMetniGirintisi">
    <w:name w:val="Body Text Indent"/>
    <w:basedOn w:val="Normal"/>
    <w:semiHidden/>
    <w:rsid w:val="006243B2"/>
    <w:pPr>
      <w:ind w:firstLine="361"/>
      <w:jc w:val="both"/>
    </w:pPr>
  </w:style>
  <w:style w:type="character" w:styleId="Gl">
    <w:name w:val="Strong"/>
    <w:basedOn w:val="VarsaylanParagrafYazTipi"/>
    <w:qFormat/>
    <w:rsid w:val="006243B2"/>
    <w:rPr>
      <w:b/>
      <w:bCs/>
    </w:rPr>
  </w:style>
  <w:style w:type="paragraph" w:styleId="GvdeMetni2">
    <w:name w:val="Body Text 2"/>
    <w:basedOn w:val="Normal"/>
    <w:semiHidden/>
    <w:rsid w:val="006243B2"/>
    <w:pPr>
      <w:spacing w:after="60"/>
      <w:jc w:val="both"/>
    </w:pPr>
    <w:rPr>
      <w:sz w:val="20"/>
    </w:rPr>
  </w:style>
  <w:style w:type="paragraph" w:customStyle="1" w:styleId="CM7">
    <w:name w:val="CM7"/>
    <w:basedOn w:val="Normal"/>
    <w:next w:val="Normal"/>
    <w:rsid w:val="006243B2"/>
    <w:pPr>
      <w:widowControl w:val="0"/>
      <w:autoSpaceDE w:val="0"/>
      <w:autoSpaceDN w:val="0"/>
      <w:adjustRightInd w:val="0"/>
      <w:spacing w:after="168"/>
    </w:pPr>
    <w:rPr>
      <w:rFonts w:ascii="EILLJ M+ Times New Roman PSMT" w:hAnsi="EILLJ M+ Times New Roman PSMT"/>
    </w:rPr>
  </w:style>
  <w:style w:type="paragraph" w:customStyle="1" w:styleId="Default">
    <w:name w:val="Default"/>
    <w:rsid w:val="007E42D9"/>
    <w:pPr>
      <w:autoSpaceDE w:val="0"/>
      <w:autoSpaceDN w:val="0"/>
      <w:adjustRightInd w:val="0"/>
    </w:pPr>
    <w:rPr>
      <w:color w:val="000000"/>
      <w:sz w:val="24"/>
      <w:szCs w:val="24"/>
    </w:rPr>
  </w:style>
  <w:style w:type="character" w:customStyle="1" w:styleId="Balk1Char">
    <w:name w:val="Başlık 1 Char"/>
    <w:basedOn w:val="VarsaylanParagrafYazTipi"/>
    <w:link w:val="Balk1"/>
    <w:uiPriority w:val="9"/>
    <w:rsid w:val="00BF06F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qFormat/>
    <w:rsid w:val="00561AE9"/>
    <w:pPr>
      <w:spacing w:before="120" w:after="120" w:line="360" w:lineRule="auto"/>
    </w:pPr>
    <w:rPr>
      <w:rFonts w:eastAsia="Calibri" w:cs="Courier New"/>
      <w:bCs/>
      <w:color w:val="000000"/>
      <w:szCs w:val="20"/>
    </w:rPr>
  </w:style>
  <w:style w:type="paragraph" w:styleId="T3">
    <w:name w:val="toc 3"/>
    <w:basedOn w:val="Normal"/>
    <w:next w:val="Normal"/>
    <w:autoRedefine/>
    <w:uiPriority w:val="39"/>
    <w:qFormat/>
    <w:rsid w:val="00561AE9"/>
    <w:pPr>
      <w:spacing w:before="120" w:after="120" w:line="360" w:lineRule="auto"/>
    </w:pPr>
    <w:rPr>
      <w:rFonts w:eastAsia="Calibri" w:cs="Courier New"/>
      <w:color w:val="000000"/>
      <w:szCs w:val="20"/>
    </w:rPr>
  </w:style>
  <w:style w:type="paragraph" w:styleId="T4">
    <w:name w:val="toc 4"/>
    <w:basedOn w:val="Normal"/>
    <w:next w:val="Normal"/>
    <w:autoRedefine/>
    <w:uiPriority w:val="39"/>
    <w:rsid w:val="00561AE9"/>
    <w:pPr>
      <w:spacing w:before="120" w:after="120" w:line="360" w:lineRule="auto"/>
    </w:pPr>
    <w:rPr>
      <w:rFonts w:eastAsia="Calibri" w:cs="Courier New"/>
      <w:color w:val="000000"/>
      <w:szCs w:val="20"/>
    </w:rPr>
  </w:style>
  <w:style w:type="character" w:styleId="zlenenKpr">
    <w:name w:val="FollowedHyperlink"/>
    <w:basedOn w:val="VarsaylanParagrafYazTipi"/>
    <w:uiPriority w:val="99"/>
    <w:semiHidden/>
    <w:unhideWhenUsed/>
    <w:rsid w:val="00561AE9"/>
    <w:rPr>
      <w:color w:val="800080" w:themeColor="followedHyperlink"/>
      <w:u w:val="single"/>
    </w:rPr>
  </w:style>
  <w:style w:type="paragraph" w:styleId="BalonMetni">
    <w:name w:val="Balloon Text"/>
    <w:basedOn w:val="Normal"/>
    <w:link w:val="BalonMetniChar"/>
    <w:uiPriority w:val="99"/>
    <w:semiHidden/>
    <w:unhideWhenUsed/>
    <w:rsid w:val="00291F2D"/>
    <w:rPr>
      <w:rFonts w:ascii="Tahoma" w:hAnsi="Tahoma" w:cs="Tahoma"/>
      <w:sz w:val="16"/>
      <w:szCs w:val="16"/>
    </w:rPr>
  </w:style>
  <w:style w:type="character" w:customStyle="1" w:styleId="BalonMetniChar">
    <w:name w:val="Balon Metni Char"/>
    <w:basedOn w:val="VarsaylanParagrafYazTipi"/>
    <w:link w:val="BalonMetni"/>
    <w:uiPriority w:val="99"/>
    <w:semiHidden/>
    <w:rsid w:val="00291F2D"/>
    <w:rPr>
      <w:rFonts w:ascii="Tahoma" w:hAnsi="Tahoma" w:cs="Tahoma"/>
      <w:sz w:val="16"/>
      <w:szCs w:val="16"/>
    </w:rPr>
  </w:style>
  <w:style w:type="character" w:customStyle="1" w:styleId="fs18">
    <w:name w:val="fs18"/>
    <w:basedOn w:val="VarsaylanParagrafYazTipi"/>
    <w:rsid w:val="00FB1DDD"/>
  </w:style>
  <w:style w:type="table" w:styleId="TabloKlavuzu">
    <w:name w:val="Table Grid"/>
    <w:basedOn w:val="NormalTablo"/>
    <w:uiPriority w:val="59"/>
    <w:rsid w:val="003D5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83714"/>
    <w:pPr>
      <w:ind w:left="720"/>
      <w:contextualSpacing/>
    </w:pPr>
  </w:style>
  <w:style w:type="paragraph" w:styleId="stbilgi">
    <w:name w:val="header"/>
    <w:basedOn w:val="Normal"/>
    <w:link w:val="stbilgiChar"/>
    <w:uiPriority w:val="99"/>
    <w:unhideWhenUsed/>
    <w:rsid w:val="006A66C4"/>
    <w:pPr>
      <w:tabs>
        <w:tab w:val="center" w:pos="4536"/>
        <w:tab w:val="right" w:pos="9072"/>
      </w:tabs>
    </w:pPr>
  </w:style>
  <w:style w:type="character" w:customStyle="1" w:styleId="stbilgiChar">
    <w:name w:val="Üstbilgi Char"/>
    <w:basedOn w:val="VarsaylanParagrafYazTipi"/>
    <w:link w:val="stbilgi"/>
    <w:uiPriority w:val="99"/>
    <w:rsid w:val="006A66C4"/>
    <w:rPr>
      <w:sz w:val="24"/>
      <w:szCs w:val="24"/>
    </w:rPr>
  </w:style>
  <w:style w:type="paragraph" w:styleId="Altbilgi">
    <w:name w:val="footer"/>
    <w:basedOn w:val="Normal"/>
    <w:link w:val="AltbilgiChar"/>
    <w:uiPriority w:val="99"/>
    <w:unhideWhenUsed/>
    <w:rsid w:val="006A66C4"/>
    <w:pPr>
      <w:tabs>
        <w:tab w:val="center" w:pos="4536"/>
        <w:tab w:val="right" w:pos="9072"/>
      </w:tabs>
    </w:pPr>
  </w:style>
  <w:style w:type="character" w:customStyle="1" w:styleId="AltbilgiChar">
    <w:name w:val="Altbilgi Char"/>
    <w:basedOn w:val="VarsaylanParagrafYazTipi"/>
    <w:link w:val="Altbilgi"/>
    <w:uiPriority w:val="99"/>
    <w:rsid w:val="006A66C4"/>
    <w:rPr>
      <w:sz w:val="24"/>
      <w:szCs w:val="24"/>
    </w:rPr>
  </w:style>
  <w:style w:type="paragraph" w:styleId="AralkYok">
    <w:name w:val="No Spacing"/>
    <w:uiPriority w:val="1"/>
    <w:qFormat/>
    <w:rsid w:val="0033014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352076778">
      <w:bodyDiv w:val="1"/>
      <w:marLeft w:val="0"/>
      <w:marRight w:val="0"/>
      <w:marTop w:val="0"/>
      <w:marBottom w:val="0"/>
      <w:divBdr>
        <w:top w:val="none" w:sz="0" w:space="0" w:color="auto"/>
        <w:left w:val="none" w:sz="0" w:space="0" w:color="auto"/>
        <w:bottom w:val="none" w:sz="0" w:space="0" w:color="auto"/>
        <w:right w:val="none" w:sz="0" w:space="0" w:color="auto"/>
      </w:divBdr>
    </w:div>
    <w:div w:id="377898820">
      <w:bodyDiv w:val="1"/>
      <w:marLeft w:val="0"/>
      <w:marRight w:val="0"/>
      <w:marTop w:val="0"/>
      <w:marBottom w:val="0"/>
      <w:divBdr>
        <w:top w:val="none" w:sz="0" w:space="0" w:color="auto"/>
        <w:left w:val="none" w:sz="0" w:space="0" w:color="auto"/>
        <w:bottom w:val="none" w:sz="0" w:space="0" w:color="auto"/>
        <w:right w:val="none" w:sz="0" w:space="0" w:color="auto"/>
      </w:divBdr>
    </w:div>
    <w:div w:id="552084078">
      <w:bodyDiv w:val="1"/>
      <w:marLeft w:val="0"/>
      <w:marRight w:val="0"/>
      <w:marTop w:val="0"/>
      <w:marBottom w:val="0"/>
      <w:divBdr>
        <w:top w:val="none" w:sz="0" w:space="0" w:color="auto"/>
        <w:left w:val="none" w:sz="0" w:space="0" w:color="auto"/>
        <w:bottom w:val="none" w:sz="0" w:space="0" w:color="auto"/>
        <w:right w:val="none" w:sz="0" w:space="0" w:color="auto"/>
      </w:divBdr>
      <w:divsChild>
        <w:div w:id="329798658">
          <w:marLeft w:val="403"/>
          <w:marRight w:val="0"/>
          <w:marTop w:val="60"/>
          <w:marBottom w:val="60"/>
          <w:divBdr>
            <w:top w:val="none" w:sz="0" w:space="0" w:color="auto"/>
            <w:left w:val="none" w:sz="0" w:space="0" w:color="auto"/>
            <w:bottom w:val="none" w:sz="0" w:space="0" w:color="auto"/>
            <w:right w:val="none" w:sz="0" w:space="0" w:color="auto"/>
          </w:divBdr>
        </w:div>
        <w:div w:id="1467578585">
          <w:marLeft w:val="403"/>
          <w:marRight w:val="0"/>
          <w:marTop w:val="60"/>
          <w:marBottom w:val="60"/>
          <w:divBdr>
            <w:top w:val="none" w:sz="0" w:space="0" w:color="auto"/>
            <w:left w:val="none" w:sz="0" w:space="0" w:color="auto"/>
            <w:bottom w:val="none" w:sz="0" w:space="0" w:color="auto"/>
            <w:right w:val="none" w:sz="0" w:space="0" w:color="auto"/>
          </w:divBdr>
        </w:div>
        <w:div w:id="696388055">
          <w:marLeft w:val="403"/>
          <w:marRight w:val="0"/>
          <w:marTop w:val="60"/>
          <w:marBottom w:val="60"/>
          <w:divBdr>
            <w:top w:val="none" w:sz="0" w:space="0" w:color="auto"/>
            <w:left w:val="none" w:sz="0" w:space="0" w:color="auto"/>
            <w:bottom w:val="none" w:sz="0" w:space="0" w:color="auto"/>
            <w:right w:val="none" w:sz="0" w:space="0" w:color="auto"/>
          </w:divBdr>
        </w:div>
        <w:div w:id="1448767743">
          <w:marLeft w:val="403"/>
          <w:marRight w:val="0"/>
          <w:marTop w:val="60"/>
          <w:marBottom w:val="60"/>
          <w:divBdr>
            <w:top w:val="none" w:sz="0" w:space="0" w:color="auto"/>
            <w:left w:val="none" w:sz="0" w:space="0" w:color="auto"/>
            <w:bottom w:val="none" w:sz="0" w:space="0" w:color="auto"/>
            <w:right w:val="none" w:sz="0" w:space="0" w:color="auto"/>
          </w:divBdr>
        </w:div>
      </w:divsChild>
    </w:div>
    <w:div w:id="569392675">
      <w:bodyDiv w:val="1"/>
      <w:marLeft w:val="0"/>
      <w:marRight w:val="0"/>
      <w:marTop w:val="0"/>
      <w:marBottom w:val="0"/>
      <w:divBdr>
        <w:top w:val="none" w:sz="0" w:space="0" w:color="auto"/>
        <w:left w:val="none" w:sz="0" w:space="0" w:color="auto"/>
        <w:bottom w:val="none" w:sz="0" w:space="0" w:color="auto"/>
        <w:right w:val="none" w:sz="0" w:space="0" w:color="auto"/>
      </w:divBdr>
    </w:div>
    <w:div w:id="661356252">
      <w:bodyDiv w:val="1"/>
      <w:marLeft w:val="0"/>
      <w:marRight w:val="0"/>
      <w:marTop w:val="0"/>
      <w:marBottom w:val="0"/>
      <w:divBdr>
        <w:top w:val="none" w:sz="0" w:space="0" w:color="auto"/>
        <w:left w:val="none" w:sz="0" w:space="0" w:color="auto"/>
        <w:bottom w:val="none" w:sz="0" w:space="0" w:color="auto"/>
        <w:right w:val="none" w:sz="0" w:space="0" w:color="auto"/>
      </w:divBdr>
    </w:div>
    <w:div w:id="1391683644">
      <w:bodyDiv w:val="1"/>
      <w:marLeft w:val="0"/>
      <w:marRight w:val="0"/>
      <w:marTop w:val="0"/>
      <w:marBottom w:val="0"/>
      <w:divBdr>
        <w:top w:val="none" w:sz="0" w:space="0" w:color="auto"/>
        <w:left w:val="none" w:sz="0" w:space="0" w:color="auto"/>
        <w:bottom w:val="none" w:sz="0" w:space="0" w:color="auto"/>
        <w:right w:val="none" w:sz="0" w:space="0" w:color="auto"/>
      </w:divBdr>
    </w:div>
    <w:div w:id="14526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2C5D-4719-4A3B-84F8-71E7D874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2632</Words>
  <Characters>15003</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Bireylerin Müzakere Etiği Algılamalarının Müzakere Sürecindeki Davranışlarına Etkisi</vt:lpstr>
    </vt:vector>
  </TitlesOfParts>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Bireylerin Müzakere Etiği Algılamalarının Müzakere Sürecindeki Davranışlarına Etkisi</dc:title>
  <dc:creator>KHO</dc:creator>
  <cp:lastModifiedBy>Erkan YILDIZ</cp:lastModifiedBy>
  <cp:revision>2</cp:revision>
  <cp:lastPrinted>2014-03-11T12:41:00Z</cp:lastPrinted>
  <dcterms:created xsi:type="dcterms:W3CDTF">2014-03-11T13:10:00Z</dcterms:created>
  <dcterms:modified xsi:type="dcterms:W3CDTF">2014-03-11T13:10:00Z</dcterms:modified>
</cp:coreProperties>
</file>